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差旅费管理办法（V2）</w:t>
      </w:r>
    </w:p>
    <w:p>
      <w:r>
        <w:t>制度编号：XC-HR-2025-047</w:t>
      </w:r>
    </w:p>
    <w:p>
      <w:r>
        <w:t>发布日期：2025-06-10    生效日期：2025-07-01</w:t>
      </w:r>
    </w:p>
    <w:p>
      <w:r>
        <w:t>本版本自 2025-07-01 起施行，同时废止 V1 版（XC-HR-2024-032）。</w:t>
      </w:r>
    </w:p>
    <w:p>
      <w:pPr>
        <w:pStyle w:val="Heading2"/>
      </w:pPr>
      <w:r>
        <w:t>1. 住宿标准</w:t>
      </w:r>
    </w:p>
    <w:p>
      <w:r>
        <w:t>一线城市（北京/上海/广州/深圳）：600 元/晚。</w:t>
      </w:r>
    </w:p>
    <w:p>
      <w:r>
        <w:t>二线城市：450 元/晚。</w:t>
      </w:r>
    </w:p>
    <w:p>
      <w:pPr>
        <w:pStyle w:val="Heading2"/>
      </w:pPr>
      <w:r>
        <w:t>2. 发票要求</w:t>
      </w:r>
    </w:p>
    <w:p>
      <w:r>
        <w:t>住宿、交通费用须提供增值税电子发票，纸质发票不再受理。</w:t>
      </w:r>
    </w:p>
    <w:p>
      <w:pPr>
        <w:pStyle w:val="Heading2"/>
      </w:pPr>
      <w:r>
        <w:t>3. 行程变更</w:t>
      </w:r>
    </w:p>
    <w:p>
      <w:r>
        <w:t>行程变更须在 24 小时内提交补充说明。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