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技术服务合同</w:t>
      </w:r>
    </w:p>
    <w:p>
      <w:r>
        <w:t>第一条 服务内容:乙方向甲方提供平台运维服务。</w:t>
      </w:r>
    </w:p>
    <w:p>
      <w:r>
        <w:t>第二条 服务费用:各项费用见下表。SENTINEL-TABLE-REF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项目</w:t>
            </w:r>
          </w:p>
        </w:tc>
        <w:tc>
          <w:tcPr>
            <w:tcW w:type="dxa" w:w="2160"/>
          </w:tcPr>
          <w:p>
            <w:r>
              <w:t>单价(元)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小计(元)</w:t>
            </w:r>
          </w:p>
        </w:tc>
      </w:tr>
      <w:tr>
        <w:tc>
          <w:tcPr>
            <w:tcW w:type="dxa" w:w="2160"/>
          </w:tcPr>
          <w:p>
            <w:r>
              <w:t>基础运维</w:t>
            </w:r>
          </w:p>
        </w:tc>
        <w:tc>
          <w:tcPr>
            <w:tcW w:type="dxa" w:w="2160"/>
          </w:tcPr>
          <w:p>
            <w:r>
              <w:t>6294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6294</w:t>
            </w:r>
          </w:p>
        </w:tc>
      </w:tr>
      <w:tr>
        <w:tc>
          <w:tcPr>
            <w:tcW w:type="dxa" w:w="2160"/>
          </w:tcPr>
          <w:p>
            <w:r>
              <w:t>应急响应</w:t>
            </w:r>
          </w:p>
        </w:tc>
        <w:tc>
          <w:tcPr>
            <w:tcW w:type="dxa" w:w="2160"/>
          </w:tcPr>
          <w:p>
            <w:r>
              <w:t>3530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28240</w:t>
            </w:r>
          </w:p>
        </w:tc>
      </w:tr>
      <w:tr>
        <w:tc>
          <w:tcPr>
            <w:tcW w:type="dxa" w:w="2160"/>
          </w:tcPr>
          <w:p>
            <w:r>
              <w:t>容量评估</w:t>
            </w:r>
          </w:p>
        </w:tc>
        <w:tc>
          <w:tcPr>
            <w:tcW w:type="dxa" w:w="2160"/>
          </w:tcPr>
          <w:p>
            <w:r>
              <w:t>1273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12730</w:t>
            </w:r>
          </w:p>
        </w:tc>
      </w:tr>
      <w:tr>
        <w:tc>
          <w:tcPr>
            <w:tcW w:type="dxa" w:w="2160"/>
          </w:tcPr>
          <w:p>
            <w:r>
              <w:t>安全巡检</w:t>
            </w:r>
          </w:p>
        </w:tc>
        <w:tc>
          <w:tcPr>
            <w:tcW w:type="dxa" w:w="2160"/>
          </w:tcPr>
          <w:p>
            <w:r>
              <w:t>3988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47856</w:t>
            </w:r>
          </w:p>
        </w:tc>
      </w:tr>
      <w:tr>
        <w:tc>
          <w:tcPr>
            <w:tcW w:type="dxa" w:w="2160"/>
          </w:tcPr>
          <w:p>
            <w:r>
              <w:t>培训</w:t>
            </w:r>
          </w:p>
        </w:tc>
        <w:tc>
          <w:tcPr>
            <w:tcW w:type="dxa" w:w="2160"/>
          </w:tcPr>
          <w:p>
            <w:r>
              <w:t>2076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4152</w:t>
            </w:r>
          </w:p>
        </w:tc>
      </w:tr>
    </w:tbl>
    <w:p>
      <w:r>
        <w:t>第三条 付款方式:上表所列费用按季度结算,甲方在收到发票后十五日内付款。</w:t>
      </w:r>
    </w:p>
    <w:p>
      <w:r>
        <w:t>第四条 违约责任:逾期付款按日万分之五计收违约金。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