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第1节</w:t>
      </w:r>
    </w:p>
    <w:p>
      <w:r>
        <w:t>P1:本节说明如下。加班需事先申请,经部门负责人确认后计入调休或加班费。新员工入职满三个月后可申请转正评估,评估结果由人力资源部归档。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T1-R0C0</w:t>
            </w:r>
          </w:p>
        </w:tc>
        <w:tc>
          <w:tcPr>
            <w:tcW w:type="dxa" w:w="2880"/>
          </w:tcPr>
          <w:p>
            <w:r>
              <w:t>T1-R0C1</w:t>
            </w:r>
          </w:p>
        </w:tc>
        <w:tc>
          <w:tcPr>
            <w:tcW w:type="dxa" w:w="2880"/>
          </w:tcPr>
          <w:p>
            <w:r>
              <w:t>T1-R0C2</w:t>
            </w:r>
          </w:p>
        </w:tc>
      </w:tr>
      <w:tr>
        <w:tc>
          <w:tcPr>
            <w:tcW w:type="dxa" w:w="2880"/>
          </w:tcPr>
          <w:p>
            <w:r>
              <w:t>T1-R1C0</w:t>
            </w:r>
          </w:p>
        </w:tc>
        <w:tc>
          <w:tcPr>
            <w:tcW w:type="dxa" w:w="2880"/>
          </w:tcPr>
          <w:p>
            <w:r>
              <w:t>T1-R1C1</w:t>
            </w:r>
          </w:p>
        </w:tc>
        <w:tc>
          <w:tcPr>
            <w:tcW w:type="dxa" w:w="2880"/>
          </w:tcPr>
          <w:p>
            <w:r>
              <w:t>T1-R1C2</w:t>
            </w:r>
          </w:p>
        </w:tc>
      </w:tr>
      <w:tr>
        <w:tc>
          <w:tcPr>
            <w:tcW w:type="dxa" w:w="2880"/>
          </w:tcPr>
          <w:p>
            <w:r>
              <w:t>T1-R2C0</w:t>
            </w:r>
          </w:p>
        </w:tc>
        <w:tc>
          <w:tcPr>
            <w:tcW w:type="dxa" w:w="2880"/>
          </w:tcPr>
          <w:p>
            <w:r>
              <w:t>T1-R2C1</w:t>
            </w:r>
          </w:p>
        </w:tc>
        <w:tc>
          <w:tcPr>
            <w:tcW w:type="dxa" w:w="2880"/>
          </w:tcPr>
          <w:p>
            <w:r>
              <w:t>T1-R2C2</w:t>
            </w:r>
          </w:p>
        </w:tc>
      </w:tr>
    </w:tbl>
    <w:p>
      <w:pPr>
        <w:pStyle w:val="Heading1"/>
      </w:pPr>
      <w:r>
        <w:t>第2节</w:t>
      </w:r>
    </w:p>
    <w:p>
      <w:r>
        <w:t>P2:本节说明如下。离职员工须在最后工作日前完成工作交接并归还全部公司资产。出差期间的住宿与交通标准按职级执行,超标部分由个人承担。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T2-R0C0</w:t>
            </w:r>
          </w:p>
        </w:tc>
        <w:tc>
          <w:tcPr>
            <w:tcW w:type="dxa" w:w="2880"/>
          </w:tcPr>
          <w:p>
            <w:r>
              <w:t>T2-R0C1</w:t>
            </w:r>
          </w:p>
        </w:tc>
        <w:tc>
          <w:tcPr>
            <w:tcW w:type="dxa" w:w="2880"/>
          </w:tcPr>
          <w:p>
            <w:r>
              <w:t>T2-R0C2</w:t>
            </w:r>
          </w:p>
        </w:tc>
      </w:tr>
      <w:tr>
        <w:tc>
          <w:tcPr>
            <w:tcW w:type="dxa" w:w="2880"/>
          </w:tcPr>
          <w:p>
            <w:r>
              <w:t>T2-R1C0</w:t>
            </w:r>
          </w:p>
        </w:tc>
        <w:tc>
          <w:tcPr>
            <w:tcW w:type="dxa" w:w="2880"/>
          </w:tcPr>
          <w:p>
            <w:r>
              <w:t>T2-R1C1</w:t>
            </w:r>
          </w:p>
        </w:tc>
        <w:tc>
          <w:tcPr>
            <w:tcW w:type="dxa" w:w="2880"/>
          </w:tcPr>
          <w:p>
            <w:r>
              <w:t>T2-R1C2</w:t>
            </w:r>
          </w:p>
        </w:tc>
      </w:tr>
      <w:tr>
        <w:tc>
          <w:tcPr>
            <w:tcW w:type="dxa" w:w="2880"/>
          </w:tcPr>
          <w:p>
            <w:r>
              <w:t>T2-R2C0</w:t>
            </w:r>
          </w:p>
        </w:tc>
        <w:tc>
          <w:tcPr>
            <w:tcW w:type="dxa" w:w="2880"/>
          </w:tcPr>
          <w:p>
            <w:r>
              <w:t>T2-R2C1</w:t>
            </w:r>
          </w:p>
        </w:tc>
        <w:tc>
          <w:tcPr>
            <w:tcW w:type="dxa" w:w="2880"/>
          </w:tcPr>
          <w:p>
            <w:r>
              <w:t>T2-R2C2</w:t>
            </w:r>
          </w:p>
        </w:tc>
      </w:tr>
    </w:tbl>
    <w:p>
      <w:pPr>
        <w:pStyle w:val="Heading1"/>
      </w:pPr>
      <w:r>
        <w:t>第3节</w:t>
      </w:r>
    </w:p>
    <w:p>
      <w:r>
        <w:t>P3:本节说明如下。报销单据须在费用发生后三十日内提交,逾期不予受理。涉及客户数据的操作必须留痕,严禁私自导出或外传。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T3-R0C0</w:t>
            </w:r>
          </w:p>
        </w:tc>
        <w:tc>
          <w:tcPr>
            <w:tcW w:type="dxa" w:w="2880"/>
          </w:tcPr>
          <w:p>
            <w:r>
              <w:t>T3-R0C1</w:t>
            </w:r>
          </w:p>
        </w:tc>
        <w:tc>
          <w:tcPr>
            <w:tcW w:type="dxa" w:w="2880"/>
          </w:tcPr>
          <w:p>
            <w:r>
              <w:t>T3-R0C2</w:t>
            </w:r>
          </w:p>
        </w:tc>
      </w:tr>
      <w:tr>
        <w:tc>
          <w:tcPr>
            <w:tcW w:type="dxa" w:w="2880"/>
          </w:tcPr>
          <w:p>
            <w:r>
              <w:t>T3-R1C0</w:t>
            </w:r>
          </w:p>
        </w:tc>
        <w:tc>
          <w:tcPr>
            <w:tcW w:type="dxa" w:w="2880"/>
          </w:tcPr>
          <w:p>
            <w:r>
              <w:t>T3-R1C1</w:t>
            </w:r>
          </w:p>
        </w:tc>
        <w:tc>
          <w:tcPr>
            <w:tcW w:type="dxa" w:w="2880"/>
          </w:tcPr>
          <w:p>
            <w:r>
              <w:t>T3-R1C2</w:t>
            </w:r>
          </w:p>
        </w:tc>
      </w:tr>
      <w:tr>
        <w:tc>
          <w:tcPr>
            <w:tcW w:type="dxa" w:w="2880"/>
          </w:tcPr>
          <w:p>
            <w:r>
              <w:t>T3-R2C0</w:t>
            </w:r>
          </w:p>
        </w:tc>
        <w:tc>
          <w:tcPr>
            <w:tcW w:type="dxa" w:w="2880"/>
          </w:tcPr>
          <w:p>
            <w:r>
              <w:t>T3-R2C1</w:t>
            </w:r>
          </w:p>
        </w:tc>
        <w:tc>
          <w:tcPr>
            <w:tcW w:type="dxa" w:w="2880"/>
          </w:tcPr>
          <w:p>
            <w:r>
              <w:t>T3-R2C2</w:t>
            </w:r>
          </w:p>
        </w:tc>
      </w:tr>
    </w:tbl>
    <w:p>
      <w:r>
        <w:t>P4:结尾说明。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