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版本：v1.0　生效日期：2026-08-26　文档编号：LOGISTICS-001　维护：示例跨境电商公司</w:t>
      </w:r>
    </w:p>
    <w:p/>
    <w:p>
      <w:pPr>
        <w:pStyle w:val="Title"/>
      </w:pPr>
      <w:r>
        <w:t>示例跨境电商公司 物流 SOP 标准操作流程</w:t>
      </w:r>
    </w:p>
    <w:p>
      <w:r>
        <w:t>【仅供测试 · 内容虚构】</w:t>
      </w:r>
    </w:p>
    <w:p>
      <w:pPr>
        <w:pStyle w:val="Heading1"/>
      </w:pPr>
      <w:r>
        <w:t>目的</w:t>
      </w:r>
    </w:p>
    <w:p>
      <w:r>
        <w:t>规范跨境物流操作,降低丢件破损率,提升客户满意度。</w:t>
      </w:r>
    </w:p>
    <w:p>
      <w:pPr>
        <w:pStyle w:val="Heading1"/>
      </w:pPr>
      <w:r>
        <w:t>适用范围</w:t>
      </w:r>
    </w:p>
    <w:p>
      <w:r>
        <w:t>仓储-国内段、跨境头程、目的国尾程。</w:t>
      </w:r>
    </w:p>
    <w:p>
      <w:pPr>
        <w:pStyle w:val="Heading1"/>
      </w:pPr>
      <w:r>
        <w:t>操作步骤</w:t>
      </w:r>
    </w:p>
    <w:p>
      <w:r>
        <w:rPr>
          <w:b/>
        </w:rPr>
        <w:t>步骤 1:入库扫描</w:t>
      </w:r>
    </w:p>
    <w:p>
      <w:r>
        <w:t>商品入库时逐件扫描,记录重量与体积,绑定 SKU。</w:t>
      </w:r>
    </w:p>
    <w:p>
      <w:r>
        <w:rPr>
          <w:b/>
        </w:rPr>
        <w:t>步骤 2:分拣打包</w:t>
      </w:r>
    </w:p>
    <w:p>
      <w:r>
        <w:t>按目的国分拣,核对收件人信息,使用合格包材。</w:t>
      </w:r>
    </w:p>
    <w:p>
      <w:r>
        <w:rPr>
          <w:b/>
        </w:rPr>
        <w:t>步骤 3:头程交接</w:t>
      </w:r>
    </w:p>
    <w:p>
      <w:r>
        <w:t>批量交接至国际物流商,获取主运单号。</w:t>
      </w:r>
    </w:p>
    <w:p>
      <w:r>
        <w:rPr>
          <w:b/>
        </w:rPr>
        <w:t>步骤 4:跨境运输</w:t>
      </w:r>
    </w:p>
    <w:p>
      <w:r>
        <w:t>海运/空运/快船,实时跟踪在途状态。</w:t>
      </w:r>
    </w:p>
    <w:p>
      <w:r>
        <w:rPr>
          <w:b/>
        </w:rPr>
        <w:t>步骤 5:清关申报</w:t>
      </w:r>
    </w:p>
    <w:p>
      <w:r>
        <w:t>提供商业发票、装箱单,按目的国法规申报。</w:t>
      </w:r>
    </w:p>
    <w:p>
      <w:r>
        <w:rPr>
          <w:b/>
        </w:rPr>
        <w:t>步骤 6:尾程派送</w:t>
      </w:r>
    </w:p>
    <w:p>
      <w:r>
        <w:t>目的国本地物流完成末端派送,获取签收凭证。</w:t>
      </w:r>
    </w:p>
    <w:p>
      <w:r>
        <w:rPr>
          <w:b/>
        </w:rPr>
        <w:t>步骤 7:异常处理</w:t>
      </w:r>
    </w:p>
    <w:p>
      <w:r>
        <w:t>丢件 48 小时核查,破损 24 小时补发,清关异常 2 个工作日补材料。</w:t>
      </w:r>
    </w:p>
    <w:p>
      <w:r>
        <w:rPr>
          <w:b/>
        </w:rPr>
        <w:t>步骤 8:数据归档</w:t>
      </w:r>
    </w:p>
    <w:p>
      <w:r>
        <w:t>运单全程状态归档,保留 3 年供查询。</w:t>
      </w:r>
    </w:p>
    <w:p>
      <w:pPr>
        <w:pStyle w:val="Heading1"/>
      </w:pPr>
      <w:r>
        <w:t>考核指标</w:t>
      </w:r>
    </w:p>
    <w:p>
      <w:r>
        <w:t>丢件率 ≤ 0.5%,破损率 ≤ 0.3%,平均妥投时效 ≤ 12 个工作日。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