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供应商准入管理办法</w:t>
      </w:r>
    </w:p>
    <w:p>
      <w:r>
        <w:t>供应商准入实行百分制评分，综合评分达到 80 分及以上方可准入。</w:t>
      </w:r>
    </w:p>
    <w:p>
      <w:r>
        <w:t>供应商年审每年 3 月统一开展，年审不合格的暂停合作资格。</w:t>
      </w:r>
    </w:p>
    <w:p>
      <w:r>
        <w:t>列入黑名单的供应商，3 年内不得再次申请准入。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资质合规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营业执照、行业资质</w:t>
            </w:r>
          </w:p>
        </w:tc>
      </w:tr>
      <w:tr>
        <w:tc>
          <w:tcPr>
            <w:tcW w:type="dxa" w:w="2880"/>
          </w:tcPr>
          <w:p>
            <w:r>
              <w:t>交付能力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产能、历史履约记录</w:t>
            </w:r>
          </w:p>
        </w:tc>
      </w:tr>
      <w:tr>
        <w:tc>
          <w:tcPr>
            <w:tcW w:type="dxa" w:w="2880"/>
          </w:tcPr>
          <w:p>
            <w:r>
              <w:t>价格竞争力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报价与成本合理性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