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2025 年度产品总结报告</w:t>
      </w:r>
    </w:p>
    <w:p>
      <w:r>
        <w:t>编制部门：产品部    发布日期：2026-01-22</w:t>
      </w:r>
    </w:p>
    <w:p>
      <w:pPr>
        <w:pStyle w:val="Heading2"/>
      </w:pPr>
      <w:r>
        <w:t>1. 交付概况</w:t>
      </w:r>
    </w:p>
    <w:p>
      <w:r>
        <w:t>全年累计发布版本 27 个，其中大版本 4 个，线上重大回滚 0 次。</w:t>
      </w:r>
    </w:p>
    <w:p>
      <w:pPr>
        <w:pStyle w:val="Heading2"/>
      </w:pPr>
      <w:r>
        <w:t>2. 客户与活跃度</w:t>
      </w:r>
    </w:p>
    <w:p>
      <w:r>
        <w:t>年末付费客户数达到 1,842 家，年度活跃租户 3,120 个。</w:t>
      </w:r>
    </w:p>
    <w:p>
      <w:r>
        <w:t>客户净推荐值 NPS 为 46，较上一年度提升 7 分。</w:t>
      </w:r>
    </w:p>
    <w:p>
      <w:pPr>
        <w:pStyle w:val="Heading2"/>
      </w:pPr>
      <w:r>
        <w:t>3. 重点交付</w:t>
      </w:r>
    </w:p>
    <w:p>
      <w:r>
        <w:t>数据接入平台 1.0 于 2025-09-12 发布，支撑了 11 个新客户的自助接入。</w:t>
      </w:r>
    </w:p>
    <w:p>
      <w:r>
        <w:t>移动端工作台完成重构，启动耗时从 3.4 秒降至 1.2 秒。</w:t>
      </w:r>
    </w:p>
    <w:p>
      <w:pPr>
        <w:pStyle w:val="Heading2"/>
      </w:pPr>
      <w:r>
        <w:t>4. 质量与缺陷</w:t>
      </w:r>
    </w:p>
    <w:p>
      <w:r>
        <w:t>全年生产环境 P1 级缺陷 9 个，平均修复时长 2 小时 36 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同比</w:t>
            </w:r>
          </w:p>
        </w:tc>
      </w:tr>
      <w:tr>
        <w:tc>
          <w:tcPr>
            <w:tcW w:type="dxa" w:w="2160"/>
          </w:tcPr>
          <w:p>
            <w:r>
              <w:t>付费客户数</w:t>
            </w:r>
          </w:p>
        </w:tc>
        <w:tc>
          <w:tcPr>
            <w:tcW w:type="dxa" w:w="2160"/>
          </w:tcPr>
          <w:p>
            <w:r>
              <w:t>1,506</w:t>
            </w:r>
          </w:p>
        </w:tc>
        <w:tc>
          <w:tcPr>
            <w:tcW w:type="dxa" w:w="2160"/>
          </w:tcPr>
          <w:p>
            <w:r>
              <w:t>1,842</w:t>
            </w:r>
          </w:p>
        </w:tc>
        <w:tc>
          <w:tcPr>
            <w:tcW w:type="dxa" w:w="2160"/>
          </w:tcPr>
          <w:p>
            <w:r>
              <w:t>+22.3%</w:t>
            </w:r>
          </w:p>
        </w:tc>
      </w:tr>
      <w:tr>
        <w:tc>
          <w:tcPr>
            <w:tcW w:type="dxa" w:w="2160"/>
          </w:tcPr>
          <w:p>
            <w:r>
              <w:t>NPS</w:t>
            </w:r>
          </w:p>
        </w:tc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+7</w:t>
            </w:r>
          </w:p>
        </w:tc>
      </w:tr>
      <w:tr>
        <w:tc>
          <w:tcPr>
            <w:tcW w:type="dxa" w:w="2160"/>
          </w:tcPr>
          <w:p>
            <w:r>
              <w:t>活跃租户</w:t>
            </w:r>
          </w:p>
        </w:tc>
        <w:tc>
          <w:tcPr>
            <w:tcW w:type="dxa" w:w="2160"/>
          </w:tcPr>
          <w:p>
            <w:r>
              <w:t>2,410</w:t>
            </w:r>
          </w:p>
        </w:tc>
        <w:tc>
          <w:tcPr>
            <w:tcW w:type="dxa" w:w="2160"/>
          </w:tcPr>
          <w:p>
            <w:r>
              <w:t>3,120</w:t>
            </w:r>
          </w:p>
        </w:tc>
        <w:tc>
          <w:tcPr>
            <w:tcW w:type="dxa" w:w="2160"/>
          </w:tcPr>
          <w:p>
            <w:r>
              <w:t>+29.5%</w:t>
            </w:r>
          </w:p>
        </w:tc>
      </w:tr>
      <w:tr>
        <w:tc>
          <w:tcPr>
            <w:tcW w:type="dxa" w:w="2160"/>
          </w:tcPr>
          <w:p>
            <w:r>
              <w:t>P1 级缺陷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-40.0%</w:t>
            </w:r>
          </w:p>
        </w:tc>
      </w:tr>
    </w:tbl>
    <w:p>
      <w:pPr>
        <w:pStyle w:val="Heading2"/>
      </w:pPr>
      <w:r>
        <w:t>5. 2026 展望</w:t>
      </w:r>
    </w:p>
    <w:p>
      <w:r>
        <w:t>重点推进语音转写能力与跨租户模板市场，目标新增付费客户 600 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