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费用报销管理办法（V2）</w:t>
      </w:r>
    </w:p>
    <w:p>
      <w:r>
        <w:t>制度编号：XC-CW-2025-033    发布日期：2025-08-20    生效日期：2025-09-01</w:t>
      </w:r>
    </w:p>
    <w:p>
      <w:r>
        <w:t>本版本自 2025-09-01 起施行，同时废止 V1 版（XC-CW-2024-021）。</w:t>
      </w:r>
    </w:p>
    <w:p>
      <w:pPr>
        <w:pStyle w:val="Heading2"/>
      </w:pPr>
      <w:r>
        <w:t>1. 审批层级</w:t>
      </w:r>
    </w:p>
    <w:p>
      <w:r>
        <w:t>维持两级审批：部门负责人 → 财务部；单笔超过 5 万元的加签财务总监。</w:t>
      </w:r>
    </w:p>
    <w:p>
      <w:pPr>
        <w:pStyle w:val="Heading2"/>
      </w:pPr>
      <w:r>
        <w:t>2. 报销时限</w:t>
      </w:r>
    </w:p>
    <w:p>
      <w:r>
        <w:t>费用发生后须在 30 日内提交报销，超期须附书面说明并经分管副总裁批准。</w:t>
      </w:r>
    </w:p>
    <w:p>
      <w:pPr>
        <w:pStyle w:val="Heading2"/>
      </w:pPr>
      <w:r>
        <w:t>3. 发票管理（本次新增）</w:t>
      </w:r>
    </w:p>
    <w:p>
      <w:r>
        <w:t>电子发票须通过系统查重，同一发票重复报销的一律退回并通报。</w:t>
      </w:r>
    </w:p>
    <w:p>
      <w:pPr>
        <w:pStyle w:val="Heading2"/>
      </w:pPr>
      <w:r>
        <w:t>4. 差额处理</w:t>
      </w:r>
    </w:p>
    <w:p>
      <w:r>
        <w:t>实报金额低于原借款的，须在报销时同步提交还款说明。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