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版本发布上线流程 SOP</w:t>
      </w:r>
    </w:p>
    <w:p>
      <w:r>
        <w:t>编号：XC-SOP-RD-2026-004    适用：研发中心各产品线</w:t>
      </w:r>
    </w:p>
    <w:p>
      <w:pPr>
        <w:pStyle w:val="Heading2"/>
      </w:pPr>
      <w:r>
        <w:t>1. 发布窗口</w:t>
      </w:r>
    </w:p>
    <w:p>
      <w:r>
        <w:t>常规发布窗口为每周二、周四 20:00 至 24:00，非窗口发布须特批。</w:t>
      </w:r>
    </w:p>
    <w:p>
      <w:pPr>
        <w:pStyle w:val="Heading2"/>
      </w:pPr>
      <w:r>
        <w:t>2. 灰度策略</w:t>
      </w:r>
    </w:p>
    <w:p>
      <w:r>
        <w:t>灰度比例按 5% → 20% → 100% 三阶段推进，每阶段观察不少于 30 分钟。</w:t>
      </w:r>
    </w:p>
    <w:p>
      <w:pPr>
        <w:pStyle w:val="Heading2"/>
      </w:pPr>
      <w:r>
        <w:t>3. 回滚条件</w:t>
      </w:r>
    </w:p>
    <w:p>
      <w:r>
        <w:t>出现 P1、P2 级缺陷，或核心接口错误率超过 1% 时立即回滚。</w:t>
      </w:r>
    </w:p>
    <w:p>
      <w:r>
        <w:t>回滚须在决策后 15 分钟内执行完毕，执行结果同步至发布群。</w:t>
      </w:r>
    </w:p>
    <w:p>
      <w:pPr>
        <w:pStyle w:val="Heading2"/>
      </w:pPr>
      <w:r>
        <w:t>4. 发布后验证</w:t>
      </w:r>
    </w:p>
    <w:p>
      <w:r>
        <w:t>全量发布后须完成冒烟用例集并留存验证截图 30 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