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数据处理协议（DPA）</w:t>
      </w:r>
    </w:p>
    <w:p>
      <w:r>
        <w:t>协议编号：XC-DPA-2026-002</w:t>
      </w:r>
    </w:p>
    <w:p>
      <w:r>
        <w:t>控制者（甲方）：签约客户    处理者（乙方）：星辰云科技有限公司</w:t>
      </w:r>
    </w:p>
    <w:p>
      <w:r>
        <w:t>签署日期：2026-03-02    生效日期：2026-04-01</w:t>
      </w:r>
    </w:p>
    <w:p>
      <w:pPr>
        <w:pStyle w:val="Heading2"/>
      </w:pPr>
      <w:r>
        <w:t>1. 角色与适用</w:t>
      </w:r>
    </w:p>
    <w:p>
      <w:r>
        <w:t>甲方为数据控制者，乙方为受托处理者；乙方仅在甲方书面指示范围内处理个人数据。</w:t>
      </w:r>
    </w:p>
    <w:p>
      <w:pPr>
        <w:pStyle w:val="Heading2"/>
      </w:pPr>
      <w:r>
        <w:t>2. 处理目的与场景</w:t>
      </w:r>
    </w:p>
    <w:p>
      <w:r>
        <w:t>处理目的限定为三类：客户画像服务、风控模型运行、客服工单支撑。</w:t>
      </w:r>
    </w:p>
    <w:p>
      <w:r>
        <w:t>超出上述目的的用途须另行签署书面补充协议。</w:t>
      </w:r>
    </w:p>
    <w:p>
      <w:pPr>
        <w:pStyle w:val="Heading2"/>
      </w:pPr>
      <w:r>
        <w:t>3. 数据类别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数据类别</w:t>
            </w:r>
          </w:p>
        </w:tc>
        <w:tc>
          <w:tcPr>
            <w:tcW w:type="dxa" w:w="2880"/>
          </w:tcPr>
          <w:p>
            <w:r>
              <w:t>示例字段</w:t>
            </w:r>
          </w:p>
        </w:tc>
        <w:tc>
          <w:tcPr>
            <w:tcW w:type="dxa" w:w="2880"/>
          </w:tcPr>
          <w:p>
            <w:r>
              <w:t>处理方式</w:t>
            </w:r>
          </w:p>
        </w:tc>
      </w:tr>
      <w:tr>
        <w:tc>
          <w:tcPr>
            <w:tcW w:type="dxa" w:w="2880"/>
          </w:tcPr>
          <w:p>
            <w:r>
              <w:t>身份信息</w:t>
            </w:r>
          </w:p>
        </w:tc>
        <w:tc>
          <w:tcPr>
            <w:tcW w:type="dxa" w:w="2880"/>
          </w:tcPr>
          <w:p>
            <w:r>
              <w:t>姓名、手机号（脱敏）</w:t>
            </w:r>
          </w:p>
        </w:tc>
        <w:tc>
          <w:tcPr>
            <w:tcW w:type="dxa" w:w="2880"/>
          </w:tcPr>
          <w:p>
            <w:r>
              <w:t>加密存储</w:t>
            </w:r>
          </w:p>
        </w:tc>
      </w:tr>
      <w:tr>
        <w:tc>
          <w:tcPr>
            <w:tcW w:type="dxa" w:w="2880"/>
          </w:tcPr>
          <w:p>
            <w:r>
              <w:t>交易信息</w:t>
            </w:r>
          </w:p>
        </w:tc>
        <w:tc>
          <w:tcPr>
            <w:tcW w:type="dxa" w:w="2880"/>
          </w:tcPr>
          <w:p>
            <w:r>
              <w:t>订单金额、购买频次</w:t>
            </w:r>
          </w:p>
        </w:tc>
        <w:tc>
          <w:tcPr>
            <w:tcW w:type="dxa" w:w="2880"/>
          </w:tcPr>
          <w:p>
            <w:r>
              <w:t>聚合分析</w:t>
            </w:r>
          </w:p>
        </w:tc>
      </w:tr>
      <w:tr>
        <w:tc>
          <w:tcPr>
            <w:tcW w:type="dxa" w:w="2880"/>
          </w:tcPr>
          <w:p>
            <w:r>
              <w:t>设备信息</w:t>
            </w:r>
          </w:p>
        </w:tc>
        <w:tc>
          <w:tcPr>
            <w:tcW w:type="dxa" w:w="2880"/>
          </w:tcPr>
          <w:p>
            <w:r>
              <w:t>设备型号、系统版本</w:t>
            </w:r>
          </w:p>
        </w:tc>
        <w:tc>
          <w:tcPr>
            <w:tcW w:type="dxa" w:w="2880"/>
          </w:tcPr>
          <w:p>
            <w:r>
              <w:t>匿名化处理</w:t>
            </w:r>
          </w:p>
        </w:tc>
      </w:tr>
    </w:tbl>
    <w:p>
      <w:pPr>
        <w:pStyle w:val="Heading2"/>
      </w:pPr>
      <w:r>
        <w:t>4. 子处理者</w:t>
      </w:r>
    </w:p>
    <w:p>
      <w:r>
        <w:t>乙方使用子处理者须提前 15 个工作日书面告知甲方，甲方有权提出异议。</w:t>
      </w:r>
    </w:p>
    <w:p>
      <w:r>
        <w:t>子处理者清单由乙方在其官网维护，变更须同步通知并要求同等保护水平。</w:t>
      </w:r>
    </w:p>
    <w:p>
      <w:pPr>
        <w:pStyle w:val="Heading2"/>
      </w:pPr>
      <w:r>
        <w:t>5. 跨境传输</w:t>
      </w:r>
    </w:p>
    <w:p>
      <w:r>
        <w:t>未经完成评估的国家或地区不得跨境传输；已列入白名单的地区方可传输。</w:t>
      </w:r>
    </w:p>
    <w:p>
      <w:r>
        <w:t>跨境传输前须完成个人信息保护影响评估并留存记录 3 年。</w:t>
      </w:r>
    </w:p>
    <w:p>
      <w:pPr>
        <w:pStyle w:val="Heading2"/>
      </w:pPr>
      <w:r>
        <w:t>6. 留存与删除</w:t>
      </w:r>
    </w:p>
    <w:p>
      <w:r>
        <w:t>服务终止后乙方须在 90 天内完成数据删除，并出具删除证明。</w:t>
      </w:r>
    </w:p>
    <w:p>
      <w:pPr>
        <w:pStyle w:val="Heading2"/>
      </w:pPr>
      <w:r>
        <w:t>7. 安全措施</w:t>
      </w:r>
    </w:p>
    <w:p>
      <w:r>
        <w:t>乙方采取传输加密、最小权限访问、全量操作留痕三项基础措施。</w:t>
      </w:r>
    </w:p>
    <w:p>
      <w:r>
        <w:t>安全事件须在 24 小时内通知甲方，并配合完成监管报告。</w:t>
      </w:r>
    </w:p>
    <w:p>
      <w:pPr>
        <w:pStyle w:val="Heading2"/>
      </w:pPr>
      <w:r>
        <w:t>8. 审计权</w:t>
      </w:r>
    </w:p>
    <w:p>
      <w:r>
        <w:t>甲方享有年度审计权，每年可行使 1 次，须提前 30 日书面通知乙方。</w:t>
      </w:r>
    </w:p>
    <w:p>
      <w:r>
        <w:t>审计费用由甲方承担，但发现重大不符项的由乙方承担。</w:t>
      </w:r>
    </w:p>
    <w:p>
      <w:pPr>
        <w:pStyle w:val="Heading2"/>
      </w:pPr>
      <w:r>
        <w:t>9. 期限与终止</w:t>
      </w:r>
    </w:p>
    <w:p>
      <w:r>
        <w:t>本协议与主服务协议同期限；主协议终止的，本协议自动终止。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