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年在办诉讼案件进展（机密）</w:t>
      </w:r>
    </w:p>
    <w:p>
      <w:r>
        <w:t>密级：restricted    编制部门：法务部    编制日期：2026-08-20</w:t>
      </w:r>
    </w:p>
    <w:p>
      <w:r>
        <w:t>截至 2026-08-20，公司在办诉讼与仲裁案件共 3 起。</w:t>
      </w:r>
    </w:p>
    <w:p>
      <w:pPr>
        <w:pStyle w:val="Heading2"/>
      </w:pPr>
      <w:r>
        <w:t>1. 案件概览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案由</w:t>
            </w:r>
          </w:p>
        </w:tc>
        <w:tc>
          <w:tcPr>
            <w:tcW w:type="dxa" w:w="2160"/>
          </w:tcPr>
          <w:p>
            <w:r>
              <w:t>标的额</w:t>
            </w:r>
          </w:p>
        </w:tc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预计结案</w:t>
            </w:r>
          </w:p>
        </w:tc>
      </w:tr>
      <w:tr>
        <w:tc>
          <w:tcPr>
            <w:tcW w:type="dxa" w:w="2160"/>
          </w:tcPr>
          <w:p>
            <w:r>
              <w:t>技术服务合同纠纷（对方：蓝鲸数据）</w:t>
            </w:r>
          </w:p>
        </w:tc>
        <w:tc>
          <w:tcPr>
            <w:tcW w:type="dxa" w:w="2160"/>
          </w:tcPr>
          <w:p>
            <w:r>
              <w:t>1,180 万元</w:t>
            </w:r>
          </w:p>
        </w:tc>
        <w:tc>
          <w:tcPr>
            <w:tcW w:type="dxa" w:w="2160"/>
          </w:tcPr>
          <w:p>
            <w:r>
              <w:t>一审已开庭</w:t>
            </w:r>
          </w:p>
        </w:tc>
        <w:tc>
          <w:tcPr>
            <w:tcW w:type="dxa" w:w="2160"/>
          </w:tcPr>
          <w:p>
            <w:r>
              <w:t>2026 年 Q4</w:t>
            </w:r>
          </w:p>
        </w:tc>
      </w:tr>
      <w:tr>
        <w:tc>
          <w:tcPr>
            <w:tcW w:type="dxa" w:w="2160"/>
          </w:tcPr>
          <w:p>
            <w:r>
              <w:t>买卖合同纠纷</w:t>
            </w:r>
          </w:p>
        </w:tc>
        <w:tc>
          <w:tcPr>
            <w:tcW w:type="dxa" w:w="2160"/>
          </w:tcPr>
          <w:p>
            <w:r>
              <w:t>96 万元</w:t>
            </w:r>
          </w:p>
        </w:tc>
        <w:tc>
          <w:tcPr>
            <w:tcW w:type="dxa" w:w="2160"/>
          </w:tcPr>
          <w:p>
            <w:r>
              <w:t>庭前调解</w:t>
            </w:r>
          </w:p>
        </w:tc>
        <w:tc>
          <w:tcPr>
            <w:tcW w:type="dxa" w:w="2160"/>
          </w:tcPr>
          <w:p>
            <w:r>
              <w:t>2026 年 Q3</w:t>
            </w:r>
          </w:p>
        </w:tc>
      </w:tr>
      <w:tr>
        <w:tc>
          <w:tcPr>
            <w:tcW w:type="dxa" w:w="2160"/>
          </w:tcPr>
          <w:p>
            <w:r>
              <w:t>劳动争议</w:t>
            </w:r>
          </w:p>
        </w:tc>
        <w:tc>
          <w:tcPr>
            <w:tcW w:type="dxa" w:w="2160"/>
          </w:tcPr>
          <w:p>
            <w:r>
              <w:t>18 万元</w:t>
            </w:r>
          </w:p>
        </w:tc>
        <w:tc>
          <w:tcPr>
            <w:tcW w:type="dxa" w:w="2160"/>
          </w:tcPr>
          <w:p>
            <w:r>
              <w:t>仲裁审理中</w:t>
            </w:r>
          </w:p>
        </w:tc>
        <w:tc>
          <w:tcPr>
            <w:tcW w:type="dxa" w:w="2160"/>
          </w:tcPr>
          <w:p>
            <w:r>
              <w:t>2026 年 Q4</w:t>
            </w:r>
          </w:p>
        </w:tc>
      </w:tr>
    </w:tbl>
    <w:p>
      <w:pPr>
        <w:pStyle w:val="Heading2"/>
      </w:pPr>
      <w:r>
        <w:t>2. 重大案件说明</w:t>
      </w:r>
    </w:p>
    <w:p>
      <w:r>
        <w:t>与蓝鲸数据的技术服务合同纠纷标的额最高，为一审开庭后的实体审理阶段，开庭日期为 2026-04-22，预计 2026 年第四季度作出一审判决。</w:t>
      </w:r>
    </w:p>
    <w:p>
      <w:pPr>
        <w:pStyle w:val="Heading2"/>
      </w:pPr>
      <w:r>
        <w:t>3. 财务影响</w:t>
      </w:r>
    </w:p>
    <w:p>
      <w:r>
        <w:t>本季度未新增预计负债；若一审不利，最大风险敞口约为标的额的六成。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