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售后制度</w:t>
      </w:r>
    </w:p>
    <w:p>
      <w:r>
        <w:t>退货流程说明。</w:t>
      </w:r>
    </w:p>
    <w:p>
      <w:pPr>
        <w:pStyle w:val="Heading1"/>
      </w:pPr>
      <w:r>
        <w:t>差评处理</w:t>
      </w:r>
    </w:p>
    <w:p>
      <w:r>
        <w:t>48 小时内处理。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时限</w:t>
            </w:r>
          </w:p>
        </w:tc>
      </w:tr>
      <w:tr>
        <w:tc>
          <w:tcPr>
            <w:tcW w:type="dxa" w:w="4320"/>
          </w:tcPr>
          <w:p>
            <w:r>
              <w:t>退货</w:t>
            </w:r>
          </w:p>
        </w:tc>
        <w:tc>
          <w:tcPr>
            <w:tcW w:type="dxa" w:w="4320"/>
          </w:tcPr>
          <w:p>
            <w:r>
              <w:t>24h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