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t>PHIẾU NHẬN XÉT CỦA GIÁO VIÊN PHẢN BIỆN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Kết quả cuối cùng là một prototype end-to-end có khả năng tái lập cục bộ, kiểm soát PII và tách tải OLTP/OLAP cho hệ thống AGI Telesales.</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pPr/>
      <w:r>
        <w:t>2.1. Vai trò của dữ liệu trong đề tài</w:t>
      </w:r>
    </w:p>
    <w:p>
      <w:pPr/>
      <w:r>
        <w:t>2.2. Nguồn gốc và quy trình sinh dữ liệu</w:t>
      </w:r>
    </w:p>
    <w:p>
      <w:pPr/>
      <w:r>
        <w:t>2.3. Thiết kế schema và tính chất dữ liệu</w:t>
      </w:r>
    </w:p>
    <w:p>
      <w:pPr/>
      <w:r>
        <w:t>2.4. Chuẩn hóa dữ liệu thành các thực thể nguồn</w:t>
      </w:r>
    </w:p>
    <w:p>
      <w:pPr/>
      <w:r>
        <w:t>2.5. Chuẩn bị dữ liệu huấn luyện NLP</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pPr/>
      <w:r>
        <w:t>4.5. Đánh giá NLP trong pipeline</w:t>
      </w:r>
    </w:p>
    <w:p>
      <w:pPr/>
      <w:r>
        <w:t>4.6. Kiểm thử khả năng chạy lại và phục hồi lỗi</w:t>
      </w:r>
    </w:p>
    <w:p>
      <w:pPr/>
      <w:r>
        <w:t>Chương 5: ĐÁNH GIÁ TỔNG HỢP, HẠN CHẾ VÀ HƯỚNG PHÁT TRIỂN</w:t>
      </w:r>
    </w:p>
    <w:p>
      <w:pPr/>
      <w:r>
        <w:t>5.1. Mức độ đáp ứng mục tiêu đề tài</w:t>
      </w:r>
    </w:p>
    <w:p>
      <w:pPr/>
      <w:r>
        <w:t>5.2. Đánh giá đóng góp kỹ thuật</w:t>
      </w:r>
    </w:p>
    <w:p>
      <w:pPr/>
      <w:r>
        <w:t>5.3. Hạn chế</w:t>
      </w:r>
    </w:p>
    <w:p>
      <w:pPr/>
      <w:r>
        <w:t>5.4. Hướng phát triển</w:t>
      </w:r>
    </w:p>
    <w:p>
      <w:pPr/>
      <w:r>
        <w:t>PHẦN KẾT LUẬN</w:t>
      </w:r>
    </w:p>
    <w:p>
      <w:pPr/>
      <w:r>
        <w:t>TÀI LIỆU THAM KHẢO</w:t>
      </w:r>
    </w:p>
    <w:p>
      <w:pPr/>
      <w:r>
        <w:t>PHỤ LỤC</w:t>
      </w:r>
    </w:p>
    <w:p>
      <w:pPr/>
    </w:p>
    <w:p>
      <w:pPr/>
    </w:p>
    <w:p>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pPr/>
            <w:r>
              <w:t>Tích hợp mô hình NLP BoW + Logistic Regression để phân loại nội dung cuộc gọi; RoBERTa được dùng làm baseline học sâu để so sánh.</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rPr>
          <w:rFonts w:ascii="Times New Roman" w:hAnsi="Times New Roman" w:eastAsia="Times New Roman"/>
          <w:sz w:val="24"/>
        </w:rPr>
        <w:t>Hình 4.3. Dashboard Superset/BI cho phân tích hiệu suất telesales</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4.8. Dashboard phân tích outcome, lead source và product performance</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t>Nghiên cứu Lakehouse được công bố tại CIDR 2021 đề xuất một thế hệ nền tảng dữ liệu mở nhằm thống nhất Data Warehousing và Advanced Analytics [11].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r>
        <w:t>1.5. KẾT QUẢ ĐẠT ĐƯỢC</w:t>
      </w:r>
    </w:p>
    <w:p w14:paraId="4CBA2FB2" w14:textId="77777777" w:rsidR="00D055F9" w:rsidRDefault="006C5F42">
      <w:pPr>
        <w:spacing w:after="120" w:line="312" w:lineRule="auto"/>
        <w:ind w:firstLine="567"/>
        <w:jc w:val="both"/>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0ADBC70A" w14:textId="77777777" w:rsidR="00D055F9" w:rsidRDefault="006C5F42">
      <w:pPr>
        <w:spacing w:after="120" w:line="312" w:lineRule="auto"/>
        <w:ind w:firstLine="567"/>
        <w:jc w:val="both"/>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0ADBC70A" w14:textId="77777777" w:rsidR="00D055F9" w:rsidRDefault="006C5F42">
      <w:pPr>
        <w:spacing w:after="120" w:line="312" w:lineRule="auto"/>
        <w:ind w:firstLine="567"/>
        <w:jc w:val="both"/>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2C6F7784" w14:textId="77777777" w:rsidR="00D055F9" w:rsidRDefault="006C5F42">
      <w:pPr>
        <w:spacing w:before="80" w:after="80"/>
        <w:ind w:left="397" w:right="397"/>
        <w:jc w:val="both"/>
      </w:pPr>
      <w:r>
        <w:rPr>
          <w:rFonts w:eastAsia="Times New Roman"/>
          <w:i/>
          <w:sz w:val="24"/>
        </w:rPr>
        <w:t>[NOTE ẢNH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rPr>
          <w:rFonts w:eastAsia="Times New Roman"/>
          <w:i/>
          <w:sz w:val="24"/>
        </w:rPr>
        <w:t>[NOTE ẢNH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14:paraId="0FDC26B1" w14:textId="77777777" w:rsidR="00D055F9" w:rsidRDefault="006C5F42">
            <w:pPr>
              <w:spacing w:line="252" w:lineRule="auto"/>
              <w:jc w:val="both"/>
            </w:pPr>
            <w:r>
              <w:rPr>
                <w:rFonts w:eastAsia="Times New Roman" w:ascii="Times New Roman" w:hAnsi="Times New Roman"/>
                <w:sz w:val="20"/>
              </w:rPr>
              <w:t>lakehouse.silver.call_logs có call_code_predicted</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721EA6DF" w14:textId="77777777" w:rsidR="00D055F9" w:rsidRDefault="006C5F42">
      <w:pPr>
        <w:spacing w:after="120" w:line="312" w:lineRule="auto"/>
        <w:ind w:firstLine="567"/>
        <w:jc w:val="both"/>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721EA6DF" w14:textId="77777777" w:rsidR="00D055F9" w:rsidRDefault="006C5F42">
      <w:pPr>
        <w:spacing w:after="120" w:line="312" w:lineRule="auto"/>
        <w:ind w:firstLine="567"/>
        <w:jc w:val="both"/>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1CF49FBE" w14:textId="77777777" w:rsidR="00D055F9" w:rsidRDefault="006C5F42">
      <w:pPr>
        <w:spacing w:after="120" w:line="312" w:lineRule="auto"/>
        <w:ind w:firstLine="567"/>
        <w:jc w:val="both"/>
      </w:pPr>
      <w:r>
        <w:rPr>
          <w:i/>
        </w:rPr>
        <w:t>[NOTE ẢNH - MongoDB Change Streams: Chèn screenshot hoặc sơ đồ MongoDB ReplicaSet/oplog/change stream event; nhấn mạnh dữ liệu thay đổi được phát hiện từ nguồn vận hành.]</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0C3ED11B" w14:textId="77777777" w:rsidR="00D055F9" w:rsidRDefault="006C5F42">
      <w:pPr>
        <w:spacing w:after="120" w:line="312" w:lineRule="auto"/>
        <w:ind w:firstLine="567"/>
        <w:jc w:val="both"/>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0C3ED11B" w14:textId="77777777" w:rsidR="00D055F9" w:rsidRDefault="006C5F42">
      <w:pPr>
        <w:spacing w:after="120" w:line="312" w:lineRule="auto"/>
        <w:ind w:firstLine="567"/>
        <w:jc w:val="both"/>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0C3ED11B" w14:textId="77777777" w:rsidR="00D055F9" w:rsidRDefault="006C5F42">
      <w:pPr>
        <w:spacing w:after="120" w:line="312" w:lineRule="auto"/>
        <w:ind w:firstLine="567"/>
        <w:jc w:val="both"/>
      </w:pPr>
      <w:r>
        <w:rPr>
          <w:i/>
        </w:rPr>
        <w:t>[NOTE ẢNH - Debezium: Chèn sơ đồ Debezium Connect đọc MongoDB change stream và đẩy event sang Kafka; có thể kèm screenshot connector status RUNNING.]</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5AB8AC16" w14:textId="77777777" w:rsidR="00D055F9" w:rsidRDefault="006C5F42">
      <w:pPr>
        <w:spacing w:after="120" w:line="312" w:lineRule="auto"/>
        <w:ind w:firstLine="567"/>
        <w:jc w:val="both"/>
      </w:pPr>
      <w:r>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5AB8AC16" w14:textId="77777777" w:rsidR="00D055F9" w:rsidRDefault="006C5F42">
      <w:pPr>
        <w:spacing w:after="120" w:line="312" w:lineRule="auto"/>
        <w:ind w:firstLine="567"/>
        <w:jc w:val="both"/>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5AB8AC16" w14:textId="77777777" w:rsidR="00D055F9" w:rsidRDefault="006C5F42">
      <w:pPr>
        <w:spacing w:after="120" w:line="312" w:lineRule="auto"/>
        <w:ind w:firstLine="567"/>
        <w:jc w:val="both"/>
      </w:pPr>
      <w:r>
        <w:rPr>
          <w:i/>
        </w:rPr>
        <w:t>[NOTE ẢNH - Apache Kafka: Chèn sơ đồ topic/partition cho ba collection cust, offer, call_logs; có thể kèm screenshot kafka-topics --list.]</w:t>
      </w:r>
    </w:p>
    <w:p w14:paraId="79AE9FE1" w14:textId="77777777" w:rsidR="00D055F9" w:rsidRDefault="006C5F42">
      <w:pPr>
        <w:spacing w:before="80" w:after="80"/>
        <w:ind w:left="397" w:right="397"/>
        <w:jc w:val="both"/>
      </w:pPr>
      <w:r>
        <w:rPr>
          <w:rFonts w:eastAsia="Times New Roman"/>
          <w:i/>
          <w:sz w:val="24"/>
        </w:rPr>
        <w:t>[NOTE ẢNH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2BCD4100" w14:textId="77777777" w:rsidR="00D055F9" w:rsidRDefault="006C5F42">
      <w:pPr>
        <w:spacing w:after="120" w:line="312" w:lineRule="auto"/>
        <w:ind w:firstLine="567"/>
        <w:jc w:val="both"/>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2BCD4100" w14:textId="77777777" w:rsidR="00D055F9" w:rsidRDefault="006C5F42">
      <w:pPr>
        <w:spacing w:after="120" w:line="312" w:lineRule="auto"/>
        <w:ind w:firstLine="567"/>
        <w:jc w:val="both"/>
      </w:pPr>
      <w:r>
        <w:t>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mạnh nhưng làm tăng độ phức tạp runtime: phải đồng bộ Python dependency, cấu hình memory/partition, kiểm soát UDF/Pandas UDF, và tránh đưa mô hình quá nặng vào batch job CPU-only.</w:t>
      </w:r>
    </w:p>
    <w:p w14:paraId="2BCD4100" w14:textId="77777777" w:rsidR="00D055F9" w:rsidRDefault="006C5F42">
      <w:pPr>
        <w:spacing w:after="120" w:line="312" w:lineRule="auto"/>
        <w:ind w:firstLine="567"/>
        <w:jc w:val="both"/>
      </w:pPr>
      <w:r>
        <w:rPr>
          <w:i/>
        </w:rPr>
        <w:t>[NOTE ẢNH - Apache Spark: Chèn hình Spark driver/executor hoặc Spark job Bronze/Silver/Gold; ưu tiên screenshot Spark UI/job completed nếu có.]</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2A49E2E" w14:textId="77777777" w:rsidR="00D055F9" w:rsidRDefault="006C5F42">
      <w:pPr>
        <w:spacing w:after="120" w:line="312" w:lineRule="auto"/>
        <w:ind w:firstLine="567"/>
        <w:jc w:val="both"/>
      </w:pPr>
      <w:r>
        <w:t>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và partition evolution cho phép thay đổi lược đồ hoặc cách phân vùng mà không phải rewrite toàn bộ dữ liệu [7].</w:t>
      </w:r>
    </w:p>
    <w:p w14:paraId="42A49E2E" w14:textId="77777777" w:rsidR="00D055F9" w:rsidRDefault="006C5F42">
      <w:pPr>
        <w:spacing w:after="120" w:line="312" w:lineRule="auto"/>
        <w:ind w:firstLine="567"/>
        <w:jc w:val="both"/>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42A49E2E" w14:textId="77777777" w:rsidR="00D055F9" w:rsidRDefault="006C5F42">
      <w:pPr>
        <w:spacing w:after="120" w:line="312" w:lineRule="auto"/>
        <w:ind w:firstLine="567"/>
        <w:jc w:val="both"/>
      </w:pPr>
      <w:r>
        <w:rPr>
          <w:i/>
        </w:rPr>
        <w:t>[NOTE ẢNH - Apache Iceberg: Chèn sơ đồ metadata.json, manifest list, manifest files và data files; liên hệ với snapshot/schema evolution/MERGE INTO.]</w:t>
      </w:r>
    </w:p>
    <w:p w14:paraId="40551D35" w14:textId="77777777" w:rsidR="00D055F9" w:rsidRDefault="006C5F42">
      <w:pPr>
        <w:spacing w:before="80" w:after="80"/>
        <w:ind w:left="397" w:right="397"/>
        <w:jc w:val="both"/>
      </w:pPr>
      <w:r>
        <w:rPr>
          <w:rFonts w:eastAsia="Times New Roman"/>
          <w:i/>
          <w:sz w:val="24"/>
        </w:rPr>
        <w:t>[NOTE ẢNH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1565667C" w14:textId="77777777" w:rsidR="00D055F9" w:rsidRDefault="006C5F42">
      <w:pPr>
        <w:spacing w:after="120" w:line="312" w:lineRule="auto"/>
        <w:ind w:firstLine="567"/>
        <w:jc w:val="both"/>
      </w:pPr>
      <w:r>
        <w:t>Object storage tổ chức dữ liệu theo bucket và object key, khác với file system truyền thống ở chỗ nó tối ưu cho lưu trữ dữ liệu bất biến/quy mô lớn và truy cập qua 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1565667C" w14:textId="77777777" w:rsidR="00D055F9" w:rsidRDefault="006C5F42">
      <w:pPr>
        <w:spacing w:after="120" w:line="312" w:lineRule="auto"/>
        <w:ind w:firstLine="567"/>
        <w:jc w:val="both"/>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báo cáo cần xem MinIO local như môi trường mô phỏng kiến trúc, không phải chứng minh độ sẵn sàng production.</w:t>
      </w:r>
    </w:p>
    <w:p w14:paraId="1565667C" w14:textId="77777777" w:rsidR="00D055F9" w:rsidRDefault="006C5F42">
      <w:pPr>
        <w:spacing w:after="120" w:line="312" w:lineRule="auto"/>
        <w:ind w:firstLine="567"/>
        <w:jc w:val="both"/>
      </w:pPr>
      <w:r>
        <w:rPr>
          <w:i/>
        </w:rPr>
        <w:t>[NOTE ẢNH - MinIO/Object Storage: Chèn screenshot MinIO bucket warehouse/bronze/silver/gold hoặc sơ đồ Iceberg warehouse đặt trên S3-compatible object storage.]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rPr>
          <w:rFonts w:eastAsia="Times New Roman"/>
          <w:i/>
          <w:sz w:val="24"/>
        </w:rPr>
        <w:t>[NOTE ẢNH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1104BA62" w14:textId="77777777" w:rsidR="00D055F9" w:rsidRDefault="006C5F42">
      <w:pPr>
        <w:spacing w:after="120" w:line="312" w:lineRule="auto"/>
        <w:ind w:firstLine="567"/>
        <w:jc w:val="both"/>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1104BA62" w14:textId="77777777" w:rsidR="00D055F9" w:rsidRDefault="006C5F42">
      <w:pPr>
        <w:spacing w:after="120" w:line="312" w:lineRule="auto"/>
        <w:ind w:firstLine="567"/>
        <w:jc w:val="both"/>
      </w:pPr>
      <w:r>
        <w:t>Trong đề tài, Airflow giúp biến nhiều bước rời rạc thành một pipeline có thể vận hành: chờ Debezium connector sẵn sàng, chạy Bronze ingestion, chạy Silver ETL, tạo Gold Star Schema và đồng bộ BigQuery. Điều này làm pipeline dễ demo, dễ kiểm tra lỗi và dễ chạy lại. Trade-off là Airflow LocalExecutor trong Docker Compose chưa đại diện cho production orchestration; nếu triển khai thật cần quản lý secrets, schedule, SLA, retry policy, alerting và phân quyền truy cập UI.</w:t>
      </w:r>
    </w:p>
    <w:p w14:paraId="1104BA62" w14:textId="77777777" w:rsidR="00D055F9" w:rsidRDefault="006C5F42">
      <w:pPr>
        <w:spacing w:after="120" w:line="312" w:lineRule="auto"/>
        <w:ind w:firstLine="567"/>
        <w:jc w:val="both"/>
      </w:pPr>
      <w:r>
        <w:rPr>
          <w:i/>
        </w:rPr>
        <w:t>[NOTE ẢNH - Apache Airflow: Chèn screenshot DAG telesales_lakehouse_pipeline với các task wait_for_debezium_connector -&gt; bronze_cdc_ingestion -&gt; silver_etl -&gt; gold_star_schema -&gt; bq_sync_gold.]</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26031343" w14:textId="77777777" w:rsidR="00D055F9" w:rsidRDefault="006C5F42">
      <w:pPr>
        <w:spacing w:after="120" w:line="312" w:lineRule="auto"/>
        <w:ind w:firstLine="567"/>
        <w:jc w:val="both"/>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26031343" w14:textId="77777777" w:rsidR="00D055F9" w:rsidRDefault="006C5F42">
      <w:pPr>
        <w:spacing w:after="120" w:line="312" w:lineRule="auto"/>
        <w:ind w:firstLine="567"/>
        <w:jc w:val="both"/>
      </w:pPr>
      <w:r>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26031343" w14:textId="77777777" w:rsidR="00D055F9" w:rsidRDefault="006C5F42">
      <w:pPr>
        <w:spacing w:after="120" w:line="312" w:lineRule="auto"/>
        <w:ind w:firstLine="567"/>
        <w:jc w:val="both"/>
      </w:pPr>
      <w:r>
        <w:rPr>
          <w:i/>
        </w:rPr>
        <w:t>[NOTE ẢNH - Apache Superset: Chèn screenshot dashboard Superset hoặc chart KPI đọc từ Gold/BigQuery; nhấn mạnh dashboard không truy vấn MongoDB trực tiếp.]</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tích. Tuy nhiên, việc đưa dữ liệu lên BigQuery cũng tạo ranh giới bảo mật mới: dữ liệu publish phải được tối giản, đã loại PII trực tiếp và có chính sách quyền rõ ràng.</w:t>
      </w:r>
    </w:p>
    <w:p>
      <w:pPr/>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pPr/>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rPr>
          <w:i/>
        </w:rPr>
        <w:t>[NOTE ẢNH - BigQuery/Looker Studio: Chèn screenshot BigQuery table/view row count và dashboard Looker Studio; nếu chưa dùng Looker Studio thật thì ghi rõ là hướng serving BI cloud.]</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pPr/>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pPr/>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r>
        <w:rPr>
          <w:b w:val="0"/>
        </w:rPr>
        <w:t>Do đó, CallCenterEN không chỉ là dữ liệu tham khảo ở mức mô tả. Nó tạo ra một cầu nối phương pháp luận: dataset chính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Docker/Compose [33], hỗ trợ CDC, lưu được dữ liệu raw và dữ liệu phân tích, hỗ trợ upsert/merge, tích hợp được NLP và phục vụ dashboard.</w:t>
      </w:r>
    </w:p>
    <w:p>
      <w:pPr/>
      <w:r>
        <w:t>Docker Compose là công cụ định nghĩa và chạy ứng dụng nhiều container bằng file cấu hình, phù hợp để đóng gói một môi trường demo gồm nhiều service phụ thuộc nhau [33]. Trong đồ án, Compose giúp tái lập stack gồm MongoDB, Debezium, Kafka, Spark, MinIO, Airflow và Superset trên một máy local. Giá trị lý thuyết ở đây là khả năng mô hình hóa dependency và network giữa các service, không phải chứng minh tính sẵn sàng cao của production cluster.</w:t>
      </w:r>
    </w:p>
    <w:p>
      <w:pPr/>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pPr/>
      <w:r>
        <w:rPr>
          <w:i/>
        </w:rPr>
        <w:t>[NOTE ẢNH - Docker Compose: Chèn sơ đồ container hoặc screenshot docker compose ps -a để minh họa môi trường local gồm MongoDB, Debezium, Kafka, Spark, Airflow, MinIO, Superset.]</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wait_for_debezium &gt;&gt; bronze_cdc_ingestion &gt;&gt; silver_etl &gt;&gt; gold_star_schema &gt;&gt; bq_sync_gold</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rPr>
          <w:b w:val="0"/>
        </w:rPr>
        <w:t>Tập dữ liệu chính của đề tài vẫn là bộ dữ liệu telesales do tác giả xây dựng, vì bộ dữ liệu này có đầy đủ customer, offer, call_logs, call_transcript và nhãn nghiệp vụ call_code. Đây là nguồn dữ liệu duy nhất được xem là ground truth cho training, validation, test và cho pipeline phân tích chính.</w:t>
      </w:r>
    </w:p>
    <w:p>
      <w:r>
        <w:rPr>
          <w:b w:val="0"/>
        </w:rPr>
        <w:t>Tuy nhiên, bộ dữ liệu chính là dữ liệu được xây dựng cho bối cảnh đồ án nên cần một cơ sở đối chiếu học thuật để giải thích vì sao các thành phần như call_transcript, talk_time_seconds, PII masking và NLP inference là hợp lý. Vì vậy, nghiên cứu sử dụng CallCenterEN như một external real-world baseline. CallCenterEN không thay thế dữ liệu chính, không được trộn vào test set chính, nhưng được dùng để chứng minh rằng thiết kế dữ liệu của đề tài bám theo các đặc điểm có thật trong dữ liệu call center.</w:t>
      </w:r>
    </w:p>
    <w:p>
      <w:r>
        <w:rPr>
          <w:b w:val="0"/>
        </w:rPr>
        <w:t>Ngoài vai trò đối chiếu, một phần CallCenterEN được đưa vào thí nghiệm huấn luyện phụ. Cụ thể, transcript từ CallCenterEN được lọc thành subset gần với telesales/insurance/customer service, sau đó được gán pseudo-label theo taxonomy call_code. Các nhãn này chỉ được dùng như weak labels trong mô hình phụ trợ, không được xem là nhãn đúng tuyệt đối.</w:t>
      </w:r>
    </w:p>
    <w:p>
      <w:pPr>
        <w:pStyle w:val="Heading4"/>
      </w:pPr>
      <w:r>
        <w:t>2.1.4.1. Nguồn gốc, cách công bố và phạm vi sử dụng CallCenterEN</w:t>
      </w:r>
    </w:p>
    <w:p>
      <w:pPr/>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không thu thập trực tiếp các cuộc gọi này, mà sử dụng bản công bố công khai của CallCenterEN như một nguồn dữ liệu tham chiếu học thuật và corpus phụ trợ.</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đầu, nghiên cứu ưu tiên các nhóm gần với telesales và customer service: insurance_outbound, auto_insurance_customer_service_inbound, PII_redacted_auto_insurance_script và customer_service_general_inbound. Các nhóm như medicare_inbound, automotive_inbound hoặc home_service_inbound có thể hữu ích cho mở rộng sau, nhưng không được ưu tiên trong pilot vì có nguy cơ lệch domain so với bối cảnh telesales tài chính của đề tài.</w:t>
      </w:r>
    </w:p>
    <w:p>
      <w:r>
        <w:t>Kết quả lọc đã tạo hai tập con khác nhau. Tập baseline_analysis_sample gồm 3,000 mẫu dùng cho phân tích đặc trưng và thiết kế prompt sinh dataset chính. Tập auxiliary_training_candidate gồm 2,000 mẫu sạch hơn, dùng để gán pseudo-label và thử nghiệm huấn luyện phụ. Vì vậy, con số 3,000 và 300 không mâu thuẫn: 3,000 là mẫu phân tích thiết kế dataset/prompt; 300 là pilot pseudo-label training.</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auxiliary_training_candidate</w:t>
            </w:r>
          </w:p>
        </w:tc>
        <w:tc>
          <w:tcPr>
            <w:tcW w:type="dxa" w:w="3202"/>
          </w:tcPr>
          <w:p>
            <w:r>
              <w:t>2,000</w:t>
            </w:r>
          </w:p>
        </w:tc>
        <w:tc>
          <w:tcPr>
            <w:tcW w:type="dxa" w:w="3202"/>
          </w:tcPr>
          <w:p>
            <w:r>
              <w:t>Ứng viên để gán pseudo-label và huấn luyện phụ</w:t>
            </w:r>
          </w:p>
        </w:tc>
      </w:tr>
      <w:tr>
        <w:tc>
          <w:tcPr>
            <w:tcW w:type="dxa" w:w="3202"/>
          </w:tcPr>
          <w:p>
            <w:r>
              <w:t>pseudo_labels_gemini</w:t>
            </w:r>
          </w:p>
        </w:tc>
        <w:tc>
          <w:tcPr>
            <w:tcW w:type="dxa" w:w="3202"/>
          </w:tcPr>
          <w:p>
            <w:r>
              <w:t>300</w:t>
            </w:r>
          </w:p>
        </w:tc>
        <w:tc>
          <w:tcPr>
            <w:tcW w:type="dxa" w:w="3202"/>
          </w:tcPr>
          <w:p>
            <w:r>
              <w:t>Pilot weak-label training; không phải toàn bộ phần nghiên cứu CallCenterEN</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hoặc follow-up/handoff. Những đặc trưng này được dùng để thiết kế prompt sinh dataset chính sao cho transcript không chỉ là đoạn văn ngẫu nhiên, mà có cấu trúc nghiệp vụ tương tự hội thoại call center.</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giới thiệu và sử dụng theo ba tầng: tầng nghiên cứu nguồn dữ liệu thực tế, tầng phân tích đặc trưng để thiết kế prompt/dataset chính, và tầng thử nghiệm auxiliary training bằng pseudo-label. Cách tổ chức này giúp dataset chính có cơ sở giải thích rõ ràng, đồng thời vẫn giữ ranh giới học thuật: dataset chính là nguồn ground truth, CallCenterEN là external baseline và auxiliary corpus.</w:t>
      </w:r>
    </w:p>
    <w:p>
      <w:pPr>
        <w:pStyle w:val="Heading3"/>
      </w:pPr>
      <w:r>
        <w:rPr>
          <w:b w:val="0"/>
        </w:rPr>
        <w:t>2.1.5. Từ CallCenterEN đến prompt sinh dataset chính</w:t>
      </w:r>
    </w:p>
    <w:p>
      <w:r>
        <w:rPr>
          <w:b w:val="0"/>
        </w:rPr>
        <w:t>Mạch nghiên cứu của phần dữ liệu được tổ chức theo thứ tự: phân tích CallCenterEN, trích xuất đặc trưng, chuyển đặc trưng thành quy tắc prompt, sau đó dùng prompt để sinh dataset telesales chính. Cách trình bày này giúp giải thích vì sao dataset chính có các trường và nhãn hiện tại, thay vì chỉ mô tả dataset như một kết quả đã có sẵn.</w:t>
      </w:r>
    </w:p>
    <w:p>
      <w:r>
        <w:rPr>
          <w:b w:val="0"/>
        </w:rPr>
        <w:t>Trong bước phân tích nền, nghiên cứu sử dụng 3,000 mẫu CallCenterEN từ baseline_analysis_sample. Tập này không dùng để train trực tiếp. Nó được dùng để quan sát cấu trúc hội thoại, độ dài transcript, duration, PII, hướng cuộc gọi, domain và các hành vi hội thoại thường gặp.</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rPr>
          <w:b w:val="0"/>
        </w:rPr>
        <w:t>Từ bảng trên, prompt sinh dataset chính được thiết kế để bắt buộc transcript có cấu trúc hội thoại rõ ràng: mở đầu cuộc gọi, xác minh hoặc nhắc đến thông tin khách hàng, phân tích nhu cầu, giới thiệu sản phẩm/offer, thảo luận phí hoặc điều kiện, xử lý phản đối và kết thúc bằng outcome.</w:t>
      </w:r>
    </w:p>
    <w:p>
      <w:r>
        <w:rPr>
          <w:b w:val="0"/>
        </w:rPr>
        <w:t>Như vậy, CallCenterEN đóng vai trò cơ sở để xây dựng logic prompt và schema dataset chính. Sau bước này, dataset chính mới được sinh theo bối cảnh telesales tài chính của đồ án, có thêm customer profile, offer, campaign, call metadata và nhãn call_code để phục vụ cả mô hình NLP lẫn star schema phân tích.</w:t>
      </w:r>
    </w:p>
    <w:p>
      <w:r>
        <w:rPr>
          <w:b w:val="0"/>
        </w:rPr>
        <w:t>Cần phân biệt rõ hai con số trong nghiên cứu: 3,000 mẫu CallCenterEN được dùng cho phân tích đặc trưng và thiết kế prompt sinh dataset chính; 300 mẫu pseudo-label là thí nghiệm nhỏ hơn để kiểm tra khả năng dùng CallCenterEN như auxiliary training data.</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rPr>
          <w:rFonts w:ascii="Times New Roman" w:hAnsi="Times New Roman" w:eastAsia="Times New Roman"/>
          <w:sz w:val="24"/>
        </w:rP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BQ_INCLUDE_PII=false.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 khi sync BigQuery thì bị drop nếu BQ_INCLUDE_PII=false.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rPr>
          <w:b w:val="0"/>
        </w:rPr>
        <w:t>2.3.5. Đối chiếu dataset chính với CallCenterEN</w:t>
      </w:r>
    </w:p>
    <w:p>
      <w:pPr/>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Primary task dataset</w:t>
            </w:r>
          </w:p>
        </w:tc>
        <w:tc>
          <w:tcPr>
            <w:tcW w:type="dxa" w:w="3202"/>
          </w:tcPr>
          <w:p>
            <w:r>
              <w:t>External baseline và auxiliary corpus</w:t>
            </w:r>
          </w:p>
        </w:tc>
      </w:tr>
      <w:tr>
        <w:tc>
          <w:tcPr>
            <w:tcW w:type="dxa" w:w="3202"/>
          </w:tcPr>
          <w:p>
            <w:r>
              <w:t>Số mẫu</w:t>
            </w:r>
          </w:p>
        </w:tc>
        <w:tc>
          <w:tcPr>
            <w:tcW w:type="dxa" w:w="3202"/>
          </w:tcPr>
          <w:p>
            <w:r>
              <w:t>23,447</w:t>
            </w:r>
          </w:p>
        </w:tc>
        <w:tc>
          <w:tcPr>
            <w:tcW w:type="dxa" w:w="3202"/>
          </w:tcPr>
          <w:p>
            <w:r>
              <w:t>3,000</w:t>
            </w:r>
          </w:p>
        </w:tc>
      </w:tr>
      <w:tr>
        <w:tc>
          <w:tcPr>
            <w:tcW w:type="dxa" w:w="3202"/>
          </w:tcPr>
          <w:p>
            <w:r>
              <w:t>Độ dài transcript trung bình</w:t>
            </w:r>
          </w:p>
        </w:tc>
        <w:tc>
          <w:tcPr>
            <w:tcW w:type="dxa" w:w="3202"/>
          </w:tcPr>
          <w:p>
            <w:r>
              <w:t>897.2545</w:t>
            </w:r>
          </w:p>
        </w:tc>
        <w:tc>
          <w:tcPr>
            <w:tcW w:type="dxa" w:w="3202"/>
          </w:tcPr>
          <w:p>
            <w:r>
              <w:t>3890.2737</w:t>
            </w:r>
          </w:p>
        </w:tc>
      </w:tr>
      <w:tr>
        <w:tc>
          <w:tcPr>
            <w:tcW w:type="dxa" w:w="3202"/>
          </w:tcPr>
          <w:p>
            <w:r>
              <w:t>Số từ trung bình</w:t>
            </w:r>
          </w:p>
        </w:tc>
        <w:tc>
          <w:tcPr>
            <w:tcW w:type="dxa" w:w="3202"/>
          </w:tcPr>
          <w:p>
            <w:r>
              <w:t>151.0447</w:t>
            </w:r>
          </w:p>
        </w:tc>
        <w:tc>
          <w:tcPr>
            <w:tcW w:type="dxa" w:w="3202"/>
          </w:tcPr>
          <w:p>
            <w:r>
              <w:t>644.6783</w:t>
            </w:r>
          </w:p>
        </w:tc>
      </w:tr>
      <w:tr>
        <w:tc>
          <w:tcPr>
            <w:tcW w:type="dxa" w:w="3202"/>
          </w:tcPr>
          <w:p>
            <w:r>
              <w:t>Thời lượng trung bình</w:t>
            </w:r>
          </w:p>
        </w:tc>
        <w:tc>
          <w:tcPr>
            <w:tcW w:type="dxa" w:w="3202"/>
          </w:tcPr>
          <w:p>
            <w:r>
              <w:t>272.8059</w:t>
            </w:r>
          </w:p>
        </w:tc>
        <w:tc>
          <w:tcPr>
            <w:tcW w:type="dxa" w:w="3202"/>
          </w:tcPr>
          <w:p>
            <w:r>
              <w:t>348.4023</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0.9534</w:t>
            </w:r>
          </w:p>
        </w:tc>
      </w:tr>
      <w:tr>
        <w:tc>
          <w:tcPr>
            <w:tcW w:type="dxa" w:w="3202"/>
          </w:tcPr>
          <w:p>
            <w:r>
              <w:t>PII redaction/masking</w:t>
            </w:r>
          </w:p>
        </w:tc>
        <w:tc>
          <w:tcPr>
            <w:tcW w:type="dxa" w:w="3202"/>
          </w:tcPr>
          <w:p>
            <w:r>
              <w:t>Masking ở Silver</w:t>
            </w:r>
          </w:p>
        </w:tc>
        <w:tc>
          <w:tcPr>
            <w:tcW w:type="dxa" w:w="3202"/>
          </w:tcPr>
          <w:p>
            <w:r>
              <w:t>Trung bình 58.8953 token PII/mẫu</w:t>
            </w:r>
          </w:p>
        </w:tc>
      </w:tr>
    </w:tbl>
    <w:p/>
    <w:p>
      <w:r>
        <w:rPr>
          <w:b w:val="0"/>
        </w:rPr>
        <w:t>Bảng so sánh cho thấy CallCenterEN phù hợp để làm cơ sở đối chiếu cấu trúc dữ liệu, nhưng không thể thay thế dataset chính vì thiếu các thực thể nghiệp vụ như customer, offer, campaign và nhãn call_code. Vì vậy, nghiên cứu đặt CallCenterEN ở vai trò external baseline và auxiliary corpus, còn dataset của đề tài giữ vai trò nguồn dữ liệu chính.</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r>
        <w:rPr>
          <w:b w:val="0"/>
        </w:rPr>
        <w:t>Quy trình chuẩn bị CallCenterEN được thực hiện theo hai mục tiêu: tạo tập mẫu để phân tích baseline và tạo tập ứng viên cho huấn luyện phụ. Thay vì dùng toàn bộ dữ liệu 92k transcript, nghiên cứu chỉ chọn các nhóm gần với bài toán telesales và customer service như insurance_outbound, auto_insurance_customer_service_inbound, PII_redacted_auto_insurance_script và customer_service_general_inbound.</w:t>
      </w:r>
    </w:p>
    <w:p>
      <w:r>
        <w:rPr>
          <w:b w:val="0"/>
        </w:rPr>
        <w:t>Các điều kiện lọc gồm: ASR confidence từ 0.90 trở lên, thời lượng từ 60 đến 900 giây, độ dài transcript từ 300 đến 6,000 ký tự, transcript không rỗng và loại bỏ trùng lặp bằng hash của normalized text. Sau bước lọc, nghiên cứu tạo baseline_analysis_sample gồm 3,000 mẫu để phân tích đặc trưng và auxiliary_training_candidate gồm 2,000 mẫu để chuẩn bị gán pseudo-label.</w:t>
      </w:r>
    </w:p>
    <w:p>
      <w:r>
        <w:rPr>
          <w:b w:val="0"/>
        </w:rPr>
        <w:t>Để tạo weak labels, nghiên cứu sử dụng Google AI Studio model gemma-4-31b-it gán nhãn theo taxonomy call_code của dataset chính. Tốc độ gọi API được giữ ở mức 15 RPM bằng cách chèn thời gian chờ 4.2 giây giữa các request. Kết quả sinh được 300 dòng pseudo-label, trong đó 295 dòng được đánh dấu có thể dùng cho training. Sau khi merge lại với transcript và lọc nhãn hợp lệ trong taxonomy chính, 294 dòng được dùng trong thí nghiệm auxiliary training.</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Chọn domain gần bài toán</w:t>
            </w:r>
          </w:p>
        </w:tc>
        <w:tc>
          <w:tcPr>
            <w:tcW w:type="dxa" w:w="3202"/>
          </w:tcPr>
          <w:p>
            <w:r>
              <w:t>Giảm domain shift</w:t>
            </w:r>
          </w:p>
        </w:tc>
        <w:tc>
          <w:tcPr>
            <w:tcW w:type="dxa" w:w="3202"/>
          </w:tcPr>
          <w:p>
            <w:r>
              <w:t>Insurance, auto insurance, customer service</w:t>
            </w:r>
          </w:p>
        </w:tc>
      </w:tr>
      <w:tr>
        <w:tc>
          <w:tcPr>
            <w:tcW w:type="dxa" w:w="3202"/>
          </w:tcPr>
          <w:p>
            <w:r>
              <w:t>Lọc chất lượng transcript</w:t>
            </w:r>
          </w:p>
        </w:tc>
        <w:tc>
          <w:tcPr>
            <w:tcW w:type="dxa" w:w="3202"/>
          </w:tcPr>
          <w:p>
            <w:r>
              <w:t>Giữ mẫu đủ dài và có confidence tốt</w:t>
            </w:r>
          </w:p>
        </w:tc>
        <w:tc>
          <w:tcPr>
            <w:tcW w:type="dxa" w:w="3202"/>
          </w:tcPr>
          <w:p>
            <w:r>
              <w:t>confidence &gt;= 0.90, duration 60-900s, text 300-6000 chars</w:t>
            </w:r>
          </w:p>
        </w:tc>
      </w:tr>
      <w:tr>
        <w:tc>
          <w:tcPr>
            <w:tcW w:type="dxa" w:w="3202"/>
          </w:tcPr>
          <w:p>
            <w:r>
              <w:t>Deduplicate</w:t>
            </w:r>
          </w:p>
        </w:tc>
        <w:tc>
          <w:tcPr>
            <w:tcW w:type="dxa" w:w="3202"/>
          </w:tcPr>
          <w:p>
            <w:r>
              <w:t>Loại bỏ transcript trùng</w:t>
            </w:r>
          </w:p>
        </w:tc>
        <w:tc>
          <w:tcPr>
            <w:tcW w:type="dxa" w:w="3202"/>
          </w:tcPr>
          <w:p>
            <w:r>
              <w:t>Hash theo normalized text</w:t>
            </w:r>
          </w:p>
        </w:tc>
      </w:tr>
      <w:tr>
        <w:tc>
          <w:tcPr>
            <w:tcW w:type="dxa" w:w="3202"/>
          </w:tcPr>
          <w:p>
            <w:r>
              <w:t>Tạo baseline sample</w:t>
            </w:r>
          </w:p>
        </w:tc>
        <w:tc>
          <w:tcPr>
            <w:tcW w:type="dxa" w:w="3202"/>
          </w:tcPr>
          <w:p>
            <w:r>
              <w:t>Phân tích cơ sở dữ liệu tham chiếu</w:t>
            </w:r>
          </w:p>
        </w:tc>
        <w:tc>
          <w:tcPr>
            <w:tcW w:type="dxa" w:w="3202"/>
          </w:tcPr>
          <w:p>
            <w:r>
              <w:t>3,000 mẫu</w:t>
            </w:r>
          </w:p>
        </w:tc>
      </w:tr>
      <w:tr>
        <w:tc>
          <w:tcPr>
            <w:tcW w:type="dxa" w:w="3202"/>
          </w:tcPr>
          <w:p>
            <w:r>
              <w:t>Tạo auxiliary candidate</w:t>
            </w:r>
          </w:p>
        </w:tc>
        <w:tc>
          <w:tcPr>
            <w:tcW w:type="dxa" w:w="3202"/>
          </w:tcPr>
          <w:p>
            <w:r>
              <w:t>Chuẩn bị gán nhãn phụ</w:t>
            </w:r>
          </w:p>
        </w:tc>
        <w:tc>
          <w:tcPr>
            <w:tcW w:type="dxa" w:w="3202"/>
          </w:tcPr>
          <w:p>
            <w:r>
              <w:t>2,000 mẫu</w:t>
            </w:r>
          </w:p>
        </w:tc>
      </w:tr>
      <w:tr>
        <w:tc>
          <w:tcPr>
            <w:tcW w:type="dxa" w:w="3202"/>
          </w:tcPr>
          <w:p>
            <w:r>
              <w:t>AI pseudo-labeling</w:t>
            </w:r>
          </w:p>
        </w:tc>
        <w:tc>
          <w:tcPr>
            <w:tcW w:type="dxa" w:w="3202"/>
          </w:tcPr>
          <w:p>
            <w:r>
              <w:t>Gán nhãn yếu theo call_code</w:t>
            </w:r>
          </w:p>
        </w:tc>
        <w:tc>
          <w:tcPr>
            <w:tcW w:type="dxa" w:w="3202"/>
          </w:tcPr>
          <w:p>
            <w:r>
              <w:t>300 pseudo-label, 294 dòng dùng trong training</w:t>
            </w:r>
          </w:p>
        </w:tc>
      </w:tr>
    </w:tbl>
    <w:p/>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
      <w:r>
        <w:rPr>
          <w:b w:val="0"/>
        </w:rPr>
        <w:t>Các pseudo-label này không được xem là ground truth. Chúng chỉ đóng vai trò tín hiệu phụ trợ để kiểm tra giả thuyết rằng transcript call center thực tế có thể cải thiện nhẹ khả năng tổng quát hóa của mô hình phân loại call_code.</w:t>
      </w:r>
    </w:p>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không nhận call_code_original và không nhận call_code_predicted. Các tầng phân tích chỉ giữ call_code do mô hình sinh ra, cùng các cờ nghiệp vụ được suy ra từ call_code như has_successful_sale, has_hard_rejection, has_soft_rejection, has_do_not_call và has_objection.</w:t>
      </w:r>
    </w:p>
    <w:p>
      <w:pPr>
        <w:pStyle w:val="Heading3"/>
      </w:pPr>
      <w:r>
        <w:rPr>
          <w:b w:val="0"/>
        </w:rPr>
        <w:t>2.6.7. Cấu hình thí nghiệm auxiliary training</w:t>
      </w:r>
    </w:p>
    <w:p>
      <w:r>
        <w:rPr>
          <w:b w:val="0"/>
        </w:rPr>
        <w:t>Sau khi có pseudo-label, nghiên cứu thiết kế thí nghiệm M0/M3 để đo đóng góp thực tế của CallCenterEN. M0 là mô hình BoW + Logistic Regression huấn luyện chỉ trên dataset chính. M3 giữ nguyên cấu hình mô hình nhưng bổ sung pseudo-labeled CallCenterEN vào tập huấn luyện. Validation và test set không thay đổi, vẫn lấy hoàn toàn từ dataset chính.</w:t>
      </w:r>
    </w:p>
    <w:p>
      <w:r>
        <w:rPr>
          <w:b w:val="0"/>
        </w:rPr>
        <w:t>Thiết kế này đảm bảo CallCenterEN tham gia training nhưng không làm thay đổi nguồn ground truth. Nếu M3 cải thiện so với M0, điều đó cho thấy external corpus có thể mang lại tín hiệu ngôn ngữ hữu ích. Nếu M3 không cải thiện, kết quả vẫn có giá trị vì nó phản ánh rủi ro domain shift và noisy labels trong weak supervision.</w:t>
      </w:r>
    </w:p>
    <w:p>
      <w:r>
        <w:rPr>
          <w:b w:val="0"/>
        </w:rPr>
        <w:t>Hướng domain-adaptive pretraining cũng được đặt trong thiết kế nghiên cứu như một nhánh mở rộng cho mô hình Transformer. Với mô hình vận hành hiện tại là BoW + Logistic Regression, phần thực nghiệm khả thi trong đồ án tập trung vào weak-label training. Tuy vậy, CallCenterEN vẫn được xác định là corpus phù hợp để tiếp tục pretrain RoBERTa/BERT trong hướng phát triển sau.</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supervised chính</w:t>
            </w:r>
          </w:p>
        </w:tc>
      </w:tr>
      <w:tr>
        <w:tc>
          <w:tcPr>
            <w:tcW w:type="dxa" w:w="2401"/>
          </w:tcPr>
          <w:p>
            <w:r>
              <w:t>M3</w:t>
            </w:r>
          </w:p>
        </w:tc>
        <w:tc>
          <w:tcPr>
            <w:tcW w:type="dxa" w:w="2401"/>
          </w:tcPr>
          <w:p>
            <w:r>
              <w:t>Dataset chính + pseudo-labeled CallCenterEN</w:t>
            </w:r>
          </w:p>
        </w:tc>
        <w:tc>
          <w:tcPr>
            <w:tcW w:type="dxa" w:w="2401"/>
          </w:tcPr>
          <w:p>
            <w:r>
              <w:t>Validation/test của dataset chính</w:t>
            </w:r>
          </w:p>
        </w:tc>
        <w:tc>
          <w:tcPr>
            <w:tcW w:type="dxa" w:w="2401"/>
          </w:tcPr>
          <w:p>
            <w:r>
              <w:t>Đo tác động của weak auxiliary corpus</w:t>
            </w:r>
          </w:p>
        </w:tc>
      </w:tr>
      <w:tr>
        <w:tc>
          <w:tcPr>
            <w:tcW w:type="dxa" w:w="2401"/>
          </w:tcPr>
          <w:p>
            <w:r>
              <w:t>M2 mở rộng</w:t>
            </w:r>
          </w:p>
        </w:tc>
        <w:tc>
          <w:tcPr>
            <w:tcW w:type="dxa" w:w="2401"/>
          </w:tcPr>
          <w:p>
            <w:r>
              <w:t>CallCenterEN DAPT + dataset chính fine-tune</w:t>
            </w:r>
          </w:p>
        </w:tc>
        <w:tc>
          <w:tcPr>
            <w:tcW w:type="dxa" w:w="2401"/>
          </w:tcPr>
          <w:p>
            <w:r>
              <w:t>Validation/test của dataset chính</w:t>
            </w:r>
          </w:p>
        </w:tc>
        <w:tc>
          <w:tcPr>
            <w:tcW w:type="dxa" w:w="2401"/>
          </w:tcPr>
          <w:p>
            <w:r>
              <w:t>Hướng tiếp theo cho Transformer</w:t>
            </w:r>
          </w:p>
        </w:tc>
      </w:tr>
    </w:tbl>
    <w:p/>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rPr>
          <w:rFonts w:ascii="Times New Roman" w:hAnsi="Times New Roman" w:eastAsia="Times New Roman"/>
          <w:sz w:val="24"/>
        </w:rP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BQ_INCLUDE_PII=false.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rPr>
          <w:rFonts w:ascii="Times New Roman" w:hAnsi="Times New Roman" w:eastAsia="Times New Roman"/>
          <w:sz w:val="24"/>
        </w:rPr>
        <w:t>Thiết kế bq_sync_job.py có biến BQ_INCLUDE_PII. Khi false, dim_customer bị drop full_name và address trước khi ghi BigQuery. Đây là một điểm thiết kế quan trọng cần đưa vào báo cáo vì nó chứng minh security không chỉ nằm ở lý thuyết mà đã được hiện thực trong code.</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rPr>
          <w:rFonts w:ascii="Times New Roman" w:hAnsi="Times New Roman" w:eastAsia="Times New Roman"/>
          <w:sz w:val="24"/>
        </w:rPr>
        <w:t>Về mặt báo cáo, cần giải thích MERGE INTO không chỉ là chi tiết code mà là cơ chế đảm bảo bảng phân tích không bị append duplicate sau mỗi lần chạy. Nếu Airflow chạy lại silver_etl hoặc gold_star_schema,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rPr>
          <w:rFonts w:ascii="Times New Roman" w:hAnsi="Times New Roman" w:eastAsia="Times New Roman"/>
          <w:sz w:val="24"/>
        </w:rPr>
        <w:t>Airflow DAG telesales_lakehouse_pipeline điều phối pipeline theo thứ tự wait_for_debezium_connector, bronze_cdc_ingestion, silver_etl, gold_star_schema và bq_sync_gold. DAG có schedule_interval 0 2 * * * và catchup=false, đồng thời có thể trigger thủ công qua Airflow UI. Bronze vốn là Spark Structured Streaming job, nhưng trong Airflow được chạy với TRIGGER_ONCE=true để xử lý hết Kafka offsets hiện có rồi dừng, phù hợp với mô hình task batch.</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PythonSensor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Chờ connector mongo-source sẵn sàng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Timeout 300 giây, reschedule mode.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bronze_cdc_ingestion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bronze_job.py đọc Kafka và ghi 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TRIGGER_ONCE=true để task streaming kết thúc được trong Airflow.</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silver_etl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silver_job.py parse, mask, dedup, NLP</w:t>
            </w:r>
          </w:p>
        </w:tc>
        <w:tc>
          <w:tcPr>
            <w:tcW w:type="dxa" w:w="2268"/>
            <w:tcMar>
              <w:top w:w="80" w:type="dxa"/>
              <w:start w:w="120" w:type="dxa"/>
              <w:bottom w:w="80" w:type="dxa"/>
              <w:end w:w="120" w:type="dxa"/>
            </w:tcMar>
            <w:vAlign w:val="center"/>
          </w:tcPr>
          <w:p>
            <w:r>
              <w:rPr>
                <w:rFonts w:ascii="Times New Roman" w:hAnsi="Times New Roman" w:eastAsia="Times New Roman"/>
                <w:sz w:val="20"/>
              </w:rPr>
              <w:t>Mount roberta_saved và label_classes.json; BoW chỉ là baseline/fallback.</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gold_star_schema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gold_job.py tạo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bằng MERGE INTO Iceberg.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bq_sync_gold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BashOperator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Đồng bộ Gold sang BigQuery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BQ_INCLUDE_PII=false để không publish full_name/address.</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rPr>
          <w:rFonts w:ascii="Times New Roman" w:hAnsi="Times New Roman" w:eastAsia="Times New Roman"/>
          <w:sz w:val="24"/>
        </w:rPr>
        <w:t>bq_sync_job.py đọc bốn bảng Gold từ Iceberg và ghi sang BigQuery dataset kltn0710. Các bảng gồm dim_customer, dim_offer, dim_date và fact_telesales_calls. Nếu BQ_INCLUDE_PII=false, dim_customer sẽ drop full_name và address trước khi ghi. Đây là bước bảo vệ dữ liệu ở lớp publish, đặc biệt khi BigQuery/Looker Studio có thể được dùng bởi nhiều người hơn hạ tầng lakehouse local.</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drop full_name, address nếu BQ_INCLUDE_PII=false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 không chứa full_name/address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 -&gt; bronze_cdc_ingestion -&gt; silver_etl -&gt; gold_star_schema -&gt; bq_sync_gold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end-to-end có dependency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call_code_original và call_code_predicted là array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một transcript và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dim_customer không có full_name/address khi BQ_INCLUDE_PII=false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rPr>
          <w:rFonts w:ascii="Times New Roman" w:hAnsi="Times New Roman" w:eastAsia="Times New Roman"/>
          <w:sz w:val="24"/>
        </w:rPr>
        <w:t>Điểm cần kiểm tra thêm là dim_customer trong BigQuery không chứa full_name và address khi BQ_INCLUDE_PII=false.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Superset phục vụ dashboard BI, còn dashboard tĩnh giúp xem nhanh file dashboard_data.json. Các biểu đồ nên xoay quanh các KPI chính: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rPr>
          <w:rFonts w:ascii="Times New Roman" w:hAnsi="Times New Roman" w:eastAsia="Times New Roman"/>
          <w:sz w:val="24"/>
        </w:rPr>
        <w:t>Khi chụp hình dashboard, nên ưu tiên hình có dữ liệu thật từ Gold/BigQuery, không dùng mock UI rỗng. Caption cần nêu rõ dashboard đọc từ lớp nào, ví dụ từ vw_telesales_performance hoặc dashboard_data.json được export từ Gold. Điều này giúp hình ảnh liên kết với kiến trúc dữ liệu, không chỉ là minh họa giao diện.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call_code_original hoặc call_code_predicted. BigQuery sync cũng loại các cột nhạy cảm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rPr>
          <w:b w:val="0"/>
        </w:rPr>
        <w:t>4.5.5. Thực nghiệm auxiliary training với CallCenterEN</w:t>
      </w:r>
    </w:p>
    <w:p>
      <w:r>
        <w:rPr>
          <w:b w:val="0"/>
        </w:rPr>
        <w:t>Thực nghiệm auxiliary training được chạy sau khi đã tạo 300 pseudo-label từ CallCenterEN. Trong đó, 294 dòng được dùng trong training sau khi lọc các nhãn hợp lệ và merge lại với transcript. Cấu hình M0 và M3 sử dụng cùng pipeline BoW + Logistic Regression để đảm bảo so sánh công bằng.</w:t>
      </w:r>
    </w:p>
    <w:p>
      <w:r>
        <w:rPr>
          <w:b w:val="0"/>
        </w:rPr>
        <w:t>Điểm quan trọng của thiết kế đánh giá là CallCenterEN không được đưa vào validation hoặc test set. Toàn bộ kết quả bên dưới được đo trên split validation/test gốc của dataset chính. Vì vậy, kết quả phản ánh tác động của auxiliary data đến bài toán call_code của đề tài, không phải độ chính xác trên CallCenterEN.</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1732</w:t>
            </w:r>
          </w:p>
        </w:tc>
        <w:tc>
          <w:tcPr>
            <w:tcW w:type="dxa" w:w="1201"/>
          </w:tcPr>
          <w:p>
            <w:r>
              <w:t>0.2610</w:t>
            </w:r>
          </w:p>
        </w:tc>
        <w:tc>
          <w:tcPr>
            <w:tcW w:type="dxa" w:w="1201"/>
          </w:tcPr>
          <w:p>
            <w:r>
              <w:t>0.7298</w:t>
            </w:r>
          </w:p>
        </w:tc>
        <w:tc>
          <w:tcPr>
            <w:tcW w:type="dxa" w:w="1201"/>
          </w:tcPr>
          <w:p>
            <w:r>
              <w:t>0.6501</w:t>
            </w:r>
          </w:p>
        </w:tc>
        <w:tc>
          <w:tcPr>
            <w:tcW w:type="dxa" w:w="1201"/>
          </w:tcPr>
          <w:p>
            <w:r>
              <w:t>0.7316</w:t>
            </w:r>
          </w:p>
        </w:tc>
        <w:tc>
          <w:tcPr>
            <w:tcW w:type="dxa" w:w="1201"/>
          </w:tcPr>
          <w:p>
            <w:r>
              <w:t>0.0691</w:t>
            </w:r>
          </w:p>
        </w:tc>
      </w:tr>
      <w:tr>
        <w:tc>
          <w:tcPr>
            <w:tcW w:type="dxa" w:w="1201"/>
          </w:tcPr>
          <w:p>
            <w:r>
              <w:t>M3_primary_plus_callcenteren_pseudo_bow</w:t>
            </w:r>
          </w:p>
        </w:tc>
        <w:tc>
          <w:tcPr>
            <w:tcW w:type="dxa" w:w="1201"/>
          </w:tcPr>
          <w:p>
            <w:r>
              <w:t>14151</w:t>
            </w:r>
          </w:p>
        </w:tc>
        <w:tc>
          <w:tcPr>
            <w:tcW w:type="dxa" w:w="1201"/>
          </w:tcPr>
          <w:p>
            <w:r>
              <w:t>1732</w:t>
            </w:r>
          </w:p>
        </w:tc>
        <w:tc>
          <w:tcPr>
            <w:tcW w:type="dxa" w:w="1201"/>
          </w:tcPr>
          <w:p>
            <w:r>
              <w:t>0.2604</w:t>
            </w:r>
          </w:p>
        </w:tc>
        <w:tc>
          <w:tcPr>
            <w:tcW w:type="dxa" w:w="1201"/>
          </w:tcPr>
          <w:p>
            <w:r>
              <w:t>0.7300</w:t>
            </w:r>
          </w:p>
        </w:tc>
        <w:tc>
          <w:tcPr>
            <w:tcW w:type="dxa" w:w="1201"/>
          </w:tcPr>
          <w:p>
            <w:r>
              <w:t>0.6494</w:t>
            </w:r>
          </w:p>
        </w:tc>
        <w:tc>
          <w:tcPr>
            <w:tcW w:type="dxa" w:w="1201"/>
          </w:tcPr>
          <w:p>
            <w:r>
              <w:t>0.7318</w:t>
            </w:r>
          </w:p>
        </w:tc>
        <w:tc>
          <w:tcPr>
            <w:tcW w:type="dxa" w:w="1201"/>
          </w:tcPr>
          <w:p>
            <w:r>
              <w:t>0.0690</w:t>
            </w:r>
          </w:p>
        </w:tc>
      </w:tr>
    </w:tbl>
    <w:p/>
    <w:p>
      <w:r>
        <w:rPr>
          <w:b w:val="0"/>
        </w:rPr>
        <w:t>Bảng trên là kết quả trên validation set.</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1733</w:t>
            </w:r>
          </w:p>
        </w:tc>
        <w:tc>
          <w:tcPr>
            <w:tcW w:type="dxa" w:w="1201"/>
          </w:tcPr>
          <w:p>
            <w:r>
              <w:t>0.2539</w:t>
            </w:r>
          </w:p>
        </w:tc>
        <w:tc>
          <w:tcPr>
            <w:tcW w:type="dxa" w:w="1201"/>
          </w:tcPr>
          <w:p>
            <w:r>
              <w:t>0.7251</w:t>
            </w:r>
          </w:p>
        </w:tc>
        <w:tc>
          <w:tcPr>
            <w:tcW w:type="dxa" w:w="1201"/>
          </w:tcPr>
          <w:p>
            <w:r>
              <w:t>0.6397</w:t>
            </w:r>
          </w:p>
        </w:tc>
        <w:tc>
          <w:tcPr>
            <w:tcW w:type="dxa" w:w="1201"/>
          </w:tcPr>
          <w:p>
            <w:r>
              <w:t>0.7260</w:t>
            </w:r>
          </w:p>
        </w:tc>
        <w:tc>
          <w:tcPr>
            <w:tcW w:type="dxa" w:w="1201"/>
          </w:tcPr>
          <w:p>
            <w:r>
              <w:t>0.0703</w:t>
            </w:r>
          </w:p>
        </w:tc>
      </w:tr>
      <w:tr>
        <w:tc>
          <w:tcPr>
            <w:tcW w:type="dxa" w:w="1201"/>
          </w:tcPr>
          <w:p>
            <w:r>
              <w:t>M3_primary_plus_callcenteren_pseudo_bow</w:t>
            </w:r>
          </w:p>
        </w:tc>
        <w:tc>
          <w:tcPr>
            <w:tcW w:type="dxa" w:w="1201"/>
          </w:tcPr>
          <w:p>
            <w:r>
              <w:t>14151</w:t>
            </w:r>
          </w:p>
        </w:tc>
        <w:tc>
          <w:tcPr>
            <w:tcW w:type="dxa" w:w="1201"/>
          </w:tcPr>
          <w:p>
            <w:r>
              <w:t>1733</w:t>
            </w:r>
          </w:p>
        </w:tc>
        <w:tc>
          <w:tcPr>
            <w:tcW w:type="dxa" w:w="1201"/>
          </w:tcPr>
          <w:p>
            <w:r>
              <w:t>0.2539</w:t>
            </w:r>
          </w:p>
        </w:tc>
        <w:tc>
          <w:tcPr>
            <w:tcW w:type="dxa" w:w="1201"/>
          </w:tcPr>
          <w:p>
            <w:r>
              <w:t>0.7261</w:t>
            </w:r>
          </w:p>
        </w:tc>
        <w:tc>
          <w:tcPr>
            <w:tcW w:type="dxa" w:w="1201"/>
          </w:tcPr>
          <w:p>
            <w:r>
              <w:t>0.6413</w:t>
            </w:r>
          </w:p>
        </w:tc>
        <w:tc>
          <w:tcPr>
            <w:tcW w:type="dxa" w:w="1201"/>
          </w:tcPr>
          <w:p>
            <w:r>
              <w:t>0.7270</w:t>
            </w:r>
          </w:p>
        </w:tc>
        <w:tc>
          <w:tcPr>
            <w:tcW w:type="dxa" w:w="1201"/>
          </w:tcPr>
          <w:p>
            <w:r>
              <w:t>0.0700</w:t>
            </w:r>
          </w:p>
        </w:tc>
      </w:tr>
    </w:tbl>
    <w:p/>
    <w:p>
      <w:r>
        <w:rPr>
          <w:b w:val="0"/>
        </w:rPr>
        <w:t>Trên test set, M3 tăng micro-F1 từ 0.7251 lên 0.7261 và macro-F1 từ 0.6397 lên 0.6413. Mức cải thiện nhỏ nhưng có hướng tích cực, đủ để kết luận rằng CallCenterEN có thể đóng góp như auxiliary corpus trong một pilot experiment.</w:t>
      </w:r>
    </w:p>
    <w:p>
      <w:r>
        <w:rPr>
          <w:b w:val="0"/>
        </w:rPr>
        <w:t>Kết quả không nên được diễn giải quá mức thành một cải thiện lớn của mô hình. Nó cho thấy quy trình weak-label training là khả thi và có kết nối thực tế với mô hình hiện tại. Các thí nghiệm mở rộng có thể tăng số pseudo-label lên 1,000-2,000 mẫu, kiểm tra thủ công một phần nhãn, hoặc chuyển sang domain-adaptive pretraining cho mô hình Transformer.</w:t>
      </w:r>
    </w:p>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rPr>
          <w:rFonts w:ascii="Times New Roman" w:hAnsi="Times New Roman" w:eastAsia="Times New Roman"/>
          <w:sz w:val="24"/>
        </w:rPr>
        <w:t>Tuy nhiên, Bronze là append log của CDC. Nếu reset checkpoint hoặc replay Kafka từ earliest, Bronze có thể có thêm bản ghi. Điều này không sai nếu Bronze được xem như log raw, nhưng Silver phải deduplicate để đảm bảo bảng sạch không duplicate. Báo cáo nên giải thích rõ vai trò khác nhau của Bronze append và Silver/Gold upsert.</w:t>
      </w:r>
    </w:p>
    <w:p>
      <w:pPr>
        <w:pStyle w:val="Heading3"/>
        <w:keepNext/>
      </w:pPr>
      <w:r>
        <w:rPr>
          <w:rFonts w:ascii="Times New Roman" w:hAnsi="Times New Roman" w:eastAsia="Times New Roman"/>
        </w:rPr>
        <w:t>4.6.2. Các lỗi thực nghiệm đã ghi nhận</w:t>
      </w:r>
    </w:p>
    <w:p>
      <w:pPr>
        <w:spacing w:line="324" w:lineRule="auto" w:after="120"/>
        <w:ind w:firstLine="432"/>
        <w:jc w:val="both"/>
      </w:pPr>
      <w:r>
        <w:rPr>
          <w:rFonts w:ascii="Times New Roman" w:hAnsi="Times New Roman" w:eastAsia="Times New Roman"/>
          <w:sz w:val="24"/>
        </w:rPr>
        <w:t>thiếu dependency cho scikit-learn/joblib/PyTorch/Transformers</w:t>
      </w:r>
    </w:p>
    <w:p>
      <w:pPr>
        <w:spacing w:line="324" w:lineRule="auto" w:after="120"/>
        <w:ind w:firstLine="432"/>
        <w:jc w:val="both"/>
      </w:pPr>
      <w:r>
        <w:rPr>
          <w:rFonts w:ascii="Times New Roman" w:hAnsi="Times New Roman" w:eastAsia="Times New Roman"/>
          <w:sz w:val="24"/>
        </w:rPr>
        <w:t>Ngoài lỗi runtime, dữ liệu cũng có lỗi chất lượng như full_date null do timestamp parse lỗi. Thay vì chỉ nói pipeline thành công, báo cáo nên nêu cả lỗi và cách xử lý. Đây là điểm tạo độ tin cậy cho đồ án: hệ thống dữ liệu thực tế luôn có dữ liệu bẩn, schema lệch và dependency mismatch.</w:t>
      </w:r>
    </w:p>
    <w:p>
      <w:r>
        <w:br w:type="page"/>
      </w:r>
    </w:p>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rPr>
          <w:b w:val="0"/>
        </w:rPr>
        <w:t>5.2.4. Đóng góp từ external baseline và auxiliary corpus</w:t>
      </w:r>
    </w:p>
    <w:p>
      <w:r>
        <w:rPr>
          <w:b w:val="0"/>
        </w:rPr>
        <w:t>Việc đưa CallCenterEN vào nghiên cứu tạo ra hai đóng góp bổ sung. Thứ nhất, nó cung cấp cơ sở học thuật để giải thích thiết kế dataset của đề tài, đặc biệt là transcript hội thoại, thời lượng cuộc gọi, PII masking và NLP trên dữ liệu phi cấu trúc. Thứ hai, nó chứng minh dataset ngoài có thể tham gia training như auxiliary corpus thông qua pseudo-labeling, trong khi dataset chính vẫn giữ vai trò ground truth.</w:t>
      </w:r>
    </w:p>
    <w:p>
      <w:r>
        <w:rPr>
          <w:b w:val="0"/>
        </w:rPr>
        <w:t>Cách tiếp cận này giúp tránh hai cực đoan: không xem dữ liệu tổng hợp của đề tài là vô căn cứ, nhưng cũng không đánh tráo dataset chính bằng một public dataset thiếu nhãn nghiệp vụ. CallCenterEN được đặt đúng vai trò: external baseline để đối chiếu và corpus phụ trợ để thử nghiệm mở rộng mô hình.</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pPr/>
            <w:r>
              <w:t>BoW là mô hình production hiện tại; RoBERTa chỉ là baseline học sâu và hướng nâng cấp khi có model serving/GPU.</w:t>
            </w:r>
          </w:p>
        </w:tc>
        <w:tc>
          <w:tcPr>
            <w:tcW w:type="dxa" w:w="3025"/>
            <w:tcMar>
              <w:top w:w="80" w:type="dxa"/>
              <w:start w:w="120" w:type="dxa"/>
              <w:bottom w:w="80" w:type="dxa"/>
              <w:end w:w="120" w:type="dxa"/>
            </w:tcMar>
            <w:vAlign w:val="center"/>
          </w:tcPr>
          <w:p>
            <w:pPr/>
            <w:r>
              <w:t>Tối ưu BoW theo threshold/label, thử model serving cho RoBERTa hoặc transformer nhỏ hơn trong hướng phát triển.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r>
        <w:rPr>
          <w:b w:val="0"/>
        </w:rPr>
        <w:t>CallCenterEN là dữ liệu tiếng Anh và đa miền, trong đó một số domain như Medicare hoặc automotive không trùng hoàn toàn với telesales tài chính. Vì vậy, việc sử dụng dữ liệu này cần lọc domain và kiểm soát domain shift. Trong thí nghiệm hiện tại, nghiên cứu chỉ dùng subset gần với insurance/customer service.</w:t>
      </w:r>
    </w:p>
    <w:p>
      <w:r>
        <w:rPr>
          <w:b w:val="0"/>
        </w:rPr>
        <w:t>Pseudo-label do AI sinh ra có thể chứa nhiễu, đặc biệt với các nhãn outcome như SUCCESSFUL_SALE hoặc SUDDEN_HANG_UP khi transcript không biểu hiện rõ kết quả. Do đó, các nhãn này không được dùng làm ground truth và không được đưa vào test set. Hướng phát triển tiếp theo là review thủ công một phần pseudo-label, tăng kích thước mẫu và thử domain-adaptive pretraining với mô hình Transformer.</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Báo cáo đã xác định rõ dataset được sử dụng, notebook sinh dữ liệu, mô hình sinh dữ liệu, schema, số lượng bản ghi và giới hạn chất lượng của dữ liệu tổng hợp.</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1"/>
        <w:keepNext/>
      </w:pPr>
      <w:r>
        <w:rPr>
          <w:rFonts w:ascii="Times New Roman" w:hAnsi="Times New Roman" w:eastAsia="Times New Roman"/>
        </w:rPr>
        <w:t>TÀI LIỆU THAM KHẢO</w:t>
      </w:r>
    </w:p>
    <w:p>
      <w:pPr>
        <w:spacing w:line="324" w:lineRule="auto" w:after="120"/>
        <w:ind w:firstLine="432"/>
        <w:jc w:val="both"/>
      </w:pPr>
      <w:r>
        <w:t>[1] Google Developers Blog, "Introducing Gemma 3: The Developer Guide," https://developers.googleblog.com/en/introducing-gemma3/</w:t>
      </w:r>
    </w:p>
    <w:p>
      <w:pPr>
        <w:spacing w:line="324" w:lineRule="auto" w:after="120"/>
        <w:ind w:firstLine="432"/>
        <w:jc w:val="both"/>
      </w:pPr>
      <w:r>
        <w:t>[2] Google AI for Developers, "Gemma documentation," https://ai.google.dev/gemma/docs</w:t>
      </w:r>
    </w:p>
    <w:p>
      <w:pPr>
        <w:spacing w:line="324" w:lineRule="auto" w:after="120"/>
        <w:ind w:firstLine="432"/>
        <w:jc w:val="both"/>
      </w:pPr>
      <w:r>
        <w:t>[3] Google Cloud, "Gemini 2.5 Flash model documentation," https://cloud.google.com/vertex-ai/generative-ai/docs/models/gemini/2-5-flash</w:t>
      </w:r>
    </w:p>
    <w:p>
      <w:pPr>
        <w:spacing w:line="324" w:lineRule="auto" w:after="120"/>
        <w:ind w:firstLine="432"/>
        <w:jc w:val="both"/>
      </w:pPr>
      <w:r>
        <w:t>[4] Debezium Documentation, "MongoDB connector," https://debezium.io/documentation/reference/stable/connectors/mongodb.html</w:t>
      </w:r>
    </w:p>
    <w:p>
      <w:pPr>
        <w:spacing w:line="324" w:lineRule="auto" w:after="120"/>
        <w:ind w:firstLine="432"/>
        <w:jc w:val="both"/>
      </w:pPr>
      <w:r>
        <w:t>[5] Apache Kafka Documentation, https://kafka.apache.org/documentation/</w:t>
      </w:r>
    </w:p>
    <w:p>
      <w:pPr>
        <w:spacing w:line="324" w:lineRule="auto" w:after="120"/>
        <w:ind w:firstLine="432"/>
        <w:jc w:val="both"/>
      </w:pPr>
      <w:r>
        <w:t>[6] Apache Spark Documentation, "Structured Streaming Programming Guide," https://spark.apache.org/docs/latest/structured-streaming-programming-guide.html</w:t>
      </w:r>
    </w:p>
    <w:p>
      <w:pPr>
        <w:spacing w:line="324" w:lineRule="auto" w:after="120"/>
        <w:ind w:firstLine="432"/>
        <w:jc w:val="both"/>
      </w:pPr>
      <w:r>
        <w:t>[7] Apache Iceberg Documentation, https://iceberg.apache.org/docs/latest/</w:t>
      </w:r>
    </w:p>
    <w:p>
      <w:pPr>
        <w:spacing w:line="324" w:lineRule="auto" w:after="120"/>
        <w:ind w:firstLine="432"/>
        <w:jc w:val="both"/>
      </w:pPr>
      <w:r>
        <w:t>[8] Apache Airflow Documentation, "DAGs and task dependencies," https://airflow.apache.org/docs/apache-airflow/stable/core-concepts/dags.html</w:t>
      </w:r>
    </w:p>
    <w:p>
      <w:pPr>
        <w:spacing w:line="324" w:lineRule="auto" w:after="120"/>
        <w:ind w:firstLine="432"/>
        <w:jc w:val="both"/>
      </w:pPr>
      <w:r>
        <w:t>[9] MinIO Documentation, "Object storage for S3-compatible workloads," https://min.io/docs/minio/container/index.html</w:t>
      </w:r>
    </w:p>
    <w:p>
      <w:pPr>
        <w:spacing w:line="324" w:lineRule="auto" w:after="120"/>
        <w:ind w:firstLine="432"/>
        <w:jc w:val="both"/>
      </w:pPr>
      <w:r>
        <w:t>[10] Apache Superset Documentation, https://superset.apache.org/docs/intro</w:t>
      </w:r>
    </w:p>
    <w:p>
      <w:pPr>
        <w:spacing w:line="324" w:lineRule="auto" w:after="120"/>
        <w:ind w:firstLine="432"/>
        <w:jc w:val="both"/>
      </w:pPr>
      <w:r>
        <w:t>[11] M. Armbrust, A. Ghodsi, R. Xin, and M. Zaharia, "Lakehouse: A New Generation of Open Platforms that Unify Data Warehousing and Advanced Analytics," CIDR, 2021. https://www.vldb.org/cidrdb/papers/2021/cidr2021_paper17.pdf</w:t>
      </w:r>
    </w:p>
    <w:p>
      <w:pPr>
        <w:spacing w:line="324" w:lineRule="auto" w:after="120"/>
        <w:ind w:firstLine="432"/>
        <w:jc w:val="both"/>
      </w:pPr>
      <w:r>
        <w:t>[12] scikit-learn Documentation, https://scikit-learn.org/stable/</w:t>
      </w:r>
    </w:p>
    <w:p>
      <w:pPr/>
      <w:r>
        <w:t>[13] scikit-learn Documentation, "CountVectorizer," https://scikit-learn.org/stable/modules/generated/sklearn.feature_extraction.text.CountVectorizer.html</w:t>
      </w:r>
    </w:p>
    <w:p>
      <w:pPr/>
      <w:r>
        <w:t>[14] scikit-learn Documentation, "LogisticRegression," https://scikit-learn.org/stable/modules/generated/sklearn.linear_model.LogisticRegression.html</w:t>
      </w:r>
    </w:p>
    <w:p>
      <w:pPr/>
      <w:r>
        <w:t>[15] scikit-learn Documentation, "OneVsRestClassifier," https://scikit-learn.org/stable/modules/generated/sklearn.multiclass.OneVsRestClassifier.html</w:t>
      </w:r>
    </w:p>
    <w:p>
      <w:pPr/>
      <w:r>
        <w:t>[16] scikit-learn Documentation, "MultiLabelBinarizer," https://scikit-learn.org/stable/modules/generated/sklearn.preprocessing.MultiLabelBinarizer.html</w:t>
      </w:r>
    </w:p>
    <w:p>
      <w:pPr/>
      <w:r>
        <w:t>[17] Y. Liu et al., "RoBERTa: A Robustly Optimized BERT Pretraining Approach," arXiv:1907.11692, 2019. https://arxiv.org/abs/1907.11692</w:t>
      </w:r>
    </w:p>
    <w:p>
      <w:pPr/>
      <w:r>
        <w:t>[18] Hugging Face, "FacebookAI/roberta-base model card," https://huggingface.co/FacebookAI/roberta-base</w:t>
      </w:r>
    </w:p>
    <w:p>
      <w:pPr/>
      <w:r>
        <w:t>[19] Hugging Face Transformers, "Text classification task guide," https://huggingface.co/docs/transformers/tasks/sequence_classification</w:t>
      </w:r>
    </w:p>
    <w:p>
      <w:pPr/>
      <w:r>
        <w:t>[20] PyTorch Documentation, "BCEWithLogitsLoss," https://docs.pytorch.org/docs/stable/generated/torch.nn.BCEWithLogitsLoss.html</w:t>
      </w:r>
    </w:p>
    <w:p>
      <w:pPr/>
      <w:r>
        <w:t>[21] A. Vaswani et al., "Attention Is All You Need," arXiv:1706.03762, 2017. https://arxiv.org/abs/1706.03762</w:t>
      </w:r>
    </w:p>
    <w:p>
      <w:pPr/>
      <w:r>
        <w:t>[22] J. Devlin et al., "BERT: Pre-training of Deep Bidirectional Transformers for Language Understanding," arXiv:1810.04805, 2018. https://arxiv.org/abs/1810.04805</w:t>
      </w:r>
    </w:p>
    <w:p>
      <w:pPr/>
      <w:r>
        <w:t>[23] Hugging Face Transformers, "Trainer documentation," https://huggingface.co/docs/transformers/main_classes/trainer</w:t>
      </w:r>
    </w:p>
    <w:p>
      <w:pPr/>
      <w:r>
        <w:t>[24] Hugging Face Datasets, "Use with Pandas," https://huggingface.co/docs/datasets/use_with_pandas</w:t>
      </w:r>
    </w:p>
    <w:p>
      <w:pPr/>
      <w:r>
        <w:t>[25] H. Dao, G. Chawla, R. Banda, and C. DeLeeuw, "Real-World En Call Center Transcripts Dataset with PII Redaction," arXiv:2507.02958, 2025. https://arxiv.org/abs/2507.02958</w:t>
      </w:r>
    </w:p>
    <w:p>
      <w:pPr/>
      <w:r>
        <w:t>[26] AIxBlock, "92k Real-World Call Center Scripts English," Hugging Face Dataset. https://huggingface.co/datasets/AIxBlock/92k-real-world-call-center-scripts-english</w:t>
      </w:r>
    </w:p>
    <w:p>
      <w:pPr/>
      <w:r>
        <w:t>[27] S. Gururangan et al., "Don't Stop Pretraining: Adapt Language Models to Domains and Tasks," ACL, 2020. https://aclanthology.org/2020.acl-main.740/</w:t>
      </w:r>
    </w:p>
    <w:p>
      <w:pPr/>
      <w:r>
        <w:t>[28] A. Ratner, C. De Sa, S. Wu, D. Selsam, and C. Ré, "Data Programming: Creating Large Training Sets, Quickly," NeurIPS, 2016. https://papers.neurips.cc/paper/6523-data-programming-creating-large-training-sets-quickly</w:t>
      </w:r>
    </w:p>
    <w:p>
      <w:pPr/>
      <w:r>
        <w:t>[29] M.-R. Amini et al., "Self-Training: A Survey," arXiv:2202.12040, 2022. https://arxiv.org/abs/2202.12040</w:t>
      </w:r>
    </w:p>
    <w:p/>
    <w:p/>
    <w:p/>
    <w:p/>
    <w:p/>
    <w:p>
      <w:pPr>
        <w:keepNext/>
      </w:pPr>
      <w:r>
        <w:t>[30] MongoDB Documentation, "Change Streams," https://www.mongodb.com/docs/manual/changestreams/</w:t>
      </w:r>
    </w:p>
    <w:p>
      <w:pPr>
        <w:keepNext/>
      </w:pPr>
      <w:r>
        <w:t>[31] Google Cloud Documentation, "BigQuery overview," https://docs.cloud.google.com/bigquery/docs/introduction</w:t>
      </w:r>
    </w:p>
    <w:p>
      <w:pPr>
        <w:keepNext/>
      </w:pPr>
      <w:r>
        <w:t>[32] Looker Studio Help, "Tutorial: Create a new report," https://support.google.com/looker-studio/answer/06292570</w:t>
      </w:r>
    </w:p>
    <w:p>
      <w:pPr>
        <w:keepNext/>
      </w:pPr>
      <w:r>
        <w:t>[33] Docker Documentation, "Docker Compose," https://docs.docker.com/compose/</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rPr>
          <w:rFonts w:ascii="Times New Roman" w:hAnsi="Times New Roman" w:eastAsia="Times New Roman"/>
          <w:sz w:val="24"/>
        </w:rPr>
        <w:t>Phụ lục B liệt kê các sơ đồ và hình minh họa cần có trong bản thuyết minh: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rPr>
          <w:rFonts w:ascii="Times New Roman" w:hAnsi="Times New Roman" w:eastAsia="Times New Roman"/>
          <w:sz w:val="24"/>
        </w:rPr>
        <w:t>Notebook generate_data.ipynb hiện có cấu hình API key cục bộ. Khi nộp hoặc public repository, cần xóa key khỏi notebook, rotate key nếu đã từng commit/chia sẻ và chuyển sang đọc từ biến môi trường.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call_code_predicted.</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pPr/>
            <w:r>
              <w:t>NLP_MODEL_TYPE mặc định là bow; RoBERTa chỉ bật bằng NLP_MODEL_TYPE=roberta cho thí nghiệm so sánh.</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pPr/>
            <w:r>
              <w:t>Airflow truyền NLP_MODEL_TYPE=bow; Dockerfile vẫn giữ dependency RoBERTa để phục vụ thí nghiệm so sánh khi cần.</w:t>
            </w:r>
          </w:p>
        </w:tc>
      </w:tr>
    </w:tbl>
    <w:p>
      <w:pPr>
        <w:pStyle w:val="Heading3"/>
      </w:pPr>
      <w:r>
        <w:t>Nhận xét đối chiếu</w:t>
      </w:r>
    </w:p>
    <w:p>
      <w:pPr/>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r>
        <w:t>Khi bổ sung hình thật, các vị trí minh họa hiện có trong thân bài cần được thay bằng sơ đồ kiến trúc, screenshot dashboard, screenshot BigQuery/Superset và kết quả truy vấn kiểm chứng. Nội dung text hiện tại đã ghi rõ loại hình cần có để việc bổ sung hình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