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t>PHIẾU NHẬN XÉT CỦA GIÁO VIÊN PHẢN BIỆN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t>Mô hình sinh dữ liệu chính là models/gemma-3-27b-it [1], [2]; notebook cũng có phiên bản thử nghiệm ban đầu với models/gemini-2.5-flash [3].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t>Kết quả cuối cùng là một prototype end-to-end có khả năng tái lập cục bộ, kiểm soát PII, tách tải OLTP/OLAP và mở rộng sang mô hình multi-source bằng nhánh CallCenterEN.</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pPr/>
      <w:r>
        <w:t>2.1. Vai trò của dữ liệu trong đề tài</w:t>
      </w:r>
    </w:p>
    <w:p>
      <w:pPr/>
      <w:r>
        <w:t>2.2. Nguồn gốc và quy trình sinh dữ liệu</w:t>
      </w:r>
    </w:p>
    <w:p>
      <w:pPr/>
      <w:r>
        <w:t>2.3. Thiết kế schema và tính chất dữ liệu</w:t>
      </w:r>
    </w:p>
    <w:p>
      <w:pPr/>
      <w:r>
        <w:t>2.4. Chuẩn hóa dữ liệu thành các thực thể nguồn</w:t>
      </w:r>
    </w:p>
    <w:p>
      <w:pPr/>
      <w:r>
        <w:t>2.5. Chuẩn bị dữ liệu huấn luyện NLP</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pPr/>
      <w:r>
        <w:t>4.5. Đánh giá NLP trong pipeline</w:t>
      </w:r>
    </w:p>
    <w:p>
      <w:pPr/>
      <w:r>
        <w:t>4.6. Kiểm thử khả năng chạy lại và phục hồi lỗi</w:t>
      </w:r>
    </w:p>
    <w:p>
      <w:pPr/>
      <w:r>
        <w:t>Chương 5: ĐÁNH GIÁ TỔNG HỢP, HẠN CHẾ VÀ HƯỚNG PHÁT TRIỂN</w:t>
      </w:r>
    </w:p>
    <w:p>
      <w:pPr/>
      <w:r>
        <w:t>5.1. Mức độ đáp ứng mục tiêu đề tài</w:t>
      </w:r>
    </w:p>
    <w:p>
      <w:pPr/>
      <w:r>
        <w:t>5.2. Đánh giá đóng góp kỹ thuật</w:t>
      </w:r>
    </w:p>
    <w:p>
      <w:pPr/>
      <w:r>
        <w:t>5.3. Hạn chế</w:t>
      </w:r>
    </w:p>
    <w:p>
      <w:pPr/>
      <w:r>
        <w:t>5.4. Hướng phát triển</w:t>
      </w:r>
    </w:p>
    <w:p>
      <w:pPr/>
      <w:r>
        <w:t>PHẦN KẾT LUẬN</w:t>
      </w:r>
    </w:p>
    <w:p>
      <w:pPr/>
      <w:r>
        <w:t>TÀI LIỆU THAM KHẢO</w:t>
      </w:r>
    </w:p>
    <w:p>
      <w:pPr/>
      <w:r>
        <w:t>PHỤ LỤC</w:t>
      </w:r>
    </w:p>
    <w:p>
      <w:pPr/>
    </w:p>
    <w:p>
      <w:pPr/>
    </w:p>
    <w:p>
      <w:pP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pPr/>
            <w:r>
              <w:t>Tích hợp mô hình NLP BoW + Logistic Regression để phân loại nội dung cuộc gọi; RoBERTa được dùng làm baseline học sâu để so sánh.</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4.3. Dashboard Superset/BI cho phân tích hiệu suất telesales</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r>
        <w:t>Bảng 2.11. Kết quả chuẩn bị split CallCenterEN sau pseudo-label</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r>
        <w:t>Bảng 4.5. Kết quả huấn luyện và tinh chỉnh model riêng cho CallCenterEN</w:t>
      </w:r>
    </w:p>
    <w:p>
      <w:pPr/>
      <w:r>
        <w:t>Bảng 4.6. So sánh trực quan hai mô hình theo nguồn dữ liệu</w:t>
      </w:r>
    </w:p>
    <w:p>
      <w:pPr/>
      <w:r>
        <w:t>Bảng 4.7. Kết quả ghi bảng Lakehouse cho nhánh CallCenterEN</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pPr/>
      <w:r>
        <w:t>• Mở rộng kiến trúc từ pipeline đơn nguồn sang multi-source Lakehouse bằng cách đưa CallCenterEN thành nhánh dataset thứ hai, có split, mô hình call_code riêng và các bảng Gold so sánh với dataset AGI Telesales.</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[4]-[10].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t>Nghiên cứu Lakehouse được công bố tại CIDR 2021 đề xuất một thế hệ nền tảng dữ liệu mở nhằm thống nhất Data Warehousing và Advanced Analytics [11].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r>
        <w:t>1.5. KẾT QUẢ ĐẠT ĐƯỢC</w:t>
      </w:r>
    </w:p>
    <w:p w14:paraId="4CBA2FB2" w14:textId="77777777" w:rsidR="00D055F9" w:rsidRDefault="006C5F42">
      <w:pPr>
        <w:spacing w:after="120" w:line="312" w:lineRule="auto"/>
        <w:ind w:firstLine="567"/>
        <w:jc w:val="both"/>
      </w:pPr>
      <w:r>
        <w:t>Kết quả đạt được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0ADBC70A" w14:textId="77777777" w:rsidR="00D055F9" w:rsidRDefault="006C5F42">
      <w:pPr>
        <w:spacing w:after="120" w:line="312" w:lineRule="auto"/>
        <w:ind w:firstLine="567"/>
        <w:jc w:val="both"/>
      </w:pPr>
      <w:r>
        <w:t>Về bản chất, ba mô hình Data Warehouse, Data Lake và Data Lakehouse khác nhau ở thời điểm áp đặt lược đồ, mức độ quản trị metadata và cách phục vụ workload phân tích. Data Warehouse ưu tiên dữ liệu đã chuẩn hóa và mô hình hóa trước khi ghi, nên phù hợp với báo cáo ổn định nhưng kém linh hoạt với JSON, transcript và log. Data Lake ưu tiên lưu trữ dữ liệu thô ở nhiều định dạng, nhưng nếu không có metadata, phân quyền và quy tắc chất lượng thì dễ mất khả năng kiểm soát. Lakehouse được xem như lớp trung gian kết hợp lưu trữ mở của Data Lake với quản trị bảng, transaction, schema enforcement và tối ưu truy vấn của Data Warehouse [11].</w:t>
      </w:r>
    </w:p>
    <w:p w14:paraId="0ADBC70A" w14:textId="77777777" w:rsidR="00D055F9" w:rsidRDefault="006C5F42">
      <w:pPr>
        <w:spacing w:after="120" w:line="312" w:lineRule="auto"/>
        <w:ind w:firstLine="567"/>
        <w:jc w:val="both"/>
      </w:pPr>
      <w:r>
        <w:t>Trong đề tài, phần lý thuyết này không chỉ dùng để định nghĩa khái niệm. Nó giải thích vì sao kiến trúc phải giữ raw document ở Bronze, chuẩn hóa và bảo vệ dữ liệu ở Silver, rồi mới mô hình hóa Star Schema ở Gold. Nếu bỏ qua Lakehouse và chỉ dùng MongoDB + dashboard, hệ thống sẽ khó tái xử lý transcript, khó truy vết thay đổi và dễ tạo tải phân tích trực tiếp lên OLTP. Nếu chỉ dùng Data Lake, dữ liệu có thể được lưu nhưng thiếu lớp bảng và metadata để phục vụ BI một cách có kiểm soát.</w:t>
      </w:r>
    </w:p>
    <w:p w14:paraId="2C6F7784" w14:textId="77777777" w:rsidR="00D055F9" w:rsidRDefault="006C5F42">
      <w:pPr>
        <w:spacing w:before="80" w:after="80"/>
        <w:ind w:left="397" w:right="397"/>
        <w:jc w:val="both"/>
      </w:pPr>
      <w:r>
        <w:t>[MINH CHỨNG HÌNH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t>[MINH CHỨNG HÌNH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 [30].</w:t>
      </w:r>
    </w:p>
    <w:p w14:paraId="721EA6DF" w14:textId="77777777" w:rsidR="00D055F9" w:rsidRDefault="006C5F42">
      <w:pPr>
        <w:spacing w:after="120" w:line="312" w:lineRule="auto"/>
        <w:ind w:firstLine="567"/>
        <w:jc w:val="both"/>
      </w:pPr>
      <w:r>
        <w:t>Trong MongoDB, Change Streams cung cấp luồng sự kiện thay đổi ở mức collection, database hoặc deployment mà ứng dụng có thể theo dõi mà không phải tự tail oplog thủ công [30]. Cơ chế này chỉ phát ra các thay đổi đã được ghi nhận bền vững bởi đa số data-bearing members trong replica set, vì vậy nó phù hợp hơn cho pipeline downstream so với cách polling collection định kỳ. Mỗi event thường mang thông tin loại thao tác, namespace, document key, thời điểm cụm ghi nhận sự kiện và resume token để consumer có thể tiếp tục đọc sau gián đoạn.</w:t>
      </w:r>
    </w:p>
    <w:p w14:paraId="721EA6DF" w14:textId="77777777" w:rsidR="00D055F9" w:rsidRDefault="006C5F42">
      <w:pPr>
        <w:spacing w:after="120" w:line="312" w:lineRule="auto"/>
        <w:ind w:firstLine="567"/>
        <w:jc w:val="both"/>
      </w:pPr>
      <w:r>
        <w:t>Đối với AGI Telesales, Change Streams giải quyết đúng điểm nghẽn của dữ liệu vận hành: cuộc gọi và trạng thái khách hàng thay đổi liên tục, nhưng pipeline phân tích không nên truy vấn lặp lại toàn bộ MongoDB. Tuy nhiên, Change Streams không tự động biến MongoDB thành hệ thống phân tích thời gian thực hoàn chỉnh. Pipeline vẫn phải xử lý các vấn đề như thời hạn giữ oplog, resume token hết hiệu lực, update event không có full document nếu cấu hình không phù hợp, và khả năng duplicate/replay khi consumer khởi động lại.</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1CF49FBE" w14:textId="77777777" w:rsidR="00D055F9" w:rsidRDefault="006C5F42">
      <w:pPr>
        <w:spacing w:after="120" w:line="312" w:lineRule="auto"/>
        <w:ind w:firstLine="567"/>
        <w:jc w:val="both"/>
      </w:pPr>
      <w:r>
        <w:t>[MINH CHỨNG HÌNH - MongoDB Change Streams: Ảnh chụp hoặc sơ đồ MongoDB ReplicaSet/oplog/change stream event; nhấn mạnh dữ liệu thay đổi được phát hiện từ nguồn vận hành.]</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t>Debezium là nền tảng CDC mã nguồn mở, thường triển khai trên Kafka Connect [4].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0C3ED11B" w14:textId="77777777" w:rsidR="00D055F9" w:rsidRDefault="006C5F42">
      <w:pPr>
        <w:spacing w:after="120" w:line="312" w:lineRule="auto"/>
        <w:ind w:firstLine="567"/>
        <w:jc w:val="both"/>
      </w:pPr>
      <w:r>
        <w:t>Debezium hoạt động như một lớp source connector trong Kafka Connect: connector đọc thay đổi từ hệ quản trị nguồn, đóng gói thành event có cấu trúc và đẩy vào Kafka topic [4]. Với MongoDB connector, Debezium sử dụng Change Streams để nhận các thao tác insert, update, delete; phần payload thường chứa thông tin `op`, `source`, timestamp, document key và dữ liệu trước/sau tùy chế độ capture. Cấu hình `change_streams_update_full` có ý nghĩa quan trọng vì update event có thể kèm trạng thái document đầy đủ trong trường `after`, giúp tầng Bronze lưu được raw document đủ ngữ cảnh thay vì chỉ lưu delta.</w:t>
      </w:r>
    </w:p>
    <w:p w14:paraId="0C3ED11B" w14:textId="77777777" w:rsidR="00D055F9" w:rsidRDefault="006C5F42">
      <w:pPr>
        <w:spacing w:after="120" w:line="312" w:lineRule="auto"/>
        <w:ind w:firstLine="567"/>
        <w:jc w:val="both"/>
      </w:pPr>
      <w:r>
        <w:t>Trong đề tài, Debezium không chỉ là công cụ copy dữ liệu. Nó là ranh giới kỹ thuật giữa OLTP và pipeline phân tích: MongoDB vẫn tập trung cho nghiệp vụ ghi/đọc vận hành, còn Debezium chịu trách nhiệm biến thay đổi thành event. Trade-off của lựa chọn này là pipeline phải hiểu Debezium envelope, phải kiểm soát connector status, và phải thiết kế Bronze job sao cho idempotent khi event được đọc lại hoặc khi connector khởi động lại.</w:t>
      </w:r>
    </w:p>
    <w:p w14:paraId="0C3ED11B" w14:textId="77777777" w:rsidR="00D055F9" w:rsidRDefault="006C5F42">
      <w:pPr>
        <w:spacing w:after="120" w:line="312" w:lineRule="auto"/>
        <w:ind w:firstLine="567"/>
        <w:jc w:val="both"/>
      </w:pPr>
      <w:r>
        <w:t>[MINH CHỨNG HÌNH - Debezium: Sơ đồ Debezium Connect đọc MongoDB change stream và đẩy event sang Kafka; kèm ảnh chụp connector status RUNNING.]</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t>Apache Kafka là nền tảng event streaming phân tán, tổ chức dữ liệu theo topic và partition [5].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5AB8AC16" w14:textId="77777777" w:rsidR="00D055F9" w:rsidRDefault="006C5F42">
      <w:pPr>
        <w:spacing w:after="120" w:line="312" w:lineRule="auto"/>
        <w:ind w:firstLine="567"/>
        <w:jc w:val="both"/>
      </w:pPr>
      <w:r>
        <w:t>Kafka tổ chức dữ liệu thành event được ghi vào topic, mỗi topic có thể chia thành nhiều partition để mở rộng throughput. Thứ tự event chỉ được đảm bảo trong phạm vi một partition; khi event có cùng key, Kafka có thể ghi chúng vào cùng partition để giữ thứ tự tương đối cho key đó [5]. Offset trong partition cho phép consumer biết đã đọc đến đâu, còn cơ chế retention cho phép downstream đọc lại dữ liệu trong một khoảng thời gian nhất định.</w:t>
      </w:r>
    </w:p>
    <w:p w14:paraId="5AB8AC16" w14:textId="77777777" w:rsidR="00D055F9" w:rsidRDefault="006C5F42">
      <w:pPr>
        <w:spacing w:after="120" w:line="312" w:lineRule="auto"/>
        <w:ind w:firstLine="567"/>
        <w:jc w:val="both"/>
      </w:pPr>
      <w:r>
        <w:t>Với pipeline CDC của đề tài, Kafka đóng vai trò buffer và replay log giữa Debezium và Spark. Điều này làm giảm coupling: Debezium chỉ cần ghi event vào topic, Spark Bronze job có thể đọc theo nhịp xử lý riêng, còn khi logic parse thay đổi có thể đọc lại event trong phạm vi retention. Đổi lại, Kafka không tự bảo đảm chất lượng dữ liệu nghiệp vụ; các vấn đề như duplicate event, ordering giữa nhiều collection, retention quá ngắn hoặc topic partition chưa hợp lý vẫn phải được xử lý ở tầng pipeline.</w:t>
      </w:r>
    </w:p>
    <w:p w14:paraId="5AB8AC16" w14:textId="77777777" w:rsidR="00D055F9" w:rsidRDefault="006C5F42">
      <w:pPr>
        <w:spacing w:after="120" w:line="312" w:lineRule="auto"/>
        <w:ind w:firstLine="567"/>
        <w:jc w:val="both"/>
      </w:pPr>
      <w:r>
        <w:t>[MINH CHỨNG HÌNH - Apache Kafka: Sơ đồ topic/partition cho ba collection cust, offer, call_logs; kèm ảnh chụp kafka-topics --list.]</w:t>
      </w:r>
    </w:p>
    <w:p w14:paraId="79AE9FE1" w14:textId="77777777" w:rsidR="00D055F9" w:rsidRDefault="006C5F42">
      <w:pPr>
        <w:spacing w:before="80" w:after="80"/>
        <w:ind w:left="397" w:right="397"/>
        <w:jc w:val="both"/>
      </w:pPr>
      <w:r>
        <w:t>[MINH CHỨNG HÌNH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t>Apache Spark là engine xử lý dữ liệu phân tán, hỗ trợ batch, SQL, structured streaming và machine learning [6]. Spark DataFrame API giúp xây dựng pipeline ở mức trừu tượng cao, trong khi Spark SQL hỗ trợ các thao tác bảng như đọc, ghi và MERGE INTO khi kết hợp với Iceberg.</w:t>
      </w:r>
    </w:p>
    <w:p w14:paraId="2BCD4100" w14:textId="77777777" w:rsidR="00D055F9" w:rsidRDefault="006C5F42">
      <w:pPr>
        <w:spacing w:after="120" w:line="312" w:lineRule="auto"/>
        <w:ind w:firstLine="567"/>
        <w:jc w:val="both"/>
      </w:pPr>
      <w:r>
        <w:t>Spark cung cấp mô hình xử lý dựa trên DataFrame/Dataset và Spark SQL, cho phép cùng một engine thực hiện batch transformation, truy vấn SQL và một số workload streaming có khả năng chịu lỗi [6]. Về mặt thực thi, Spark chia dữ liệu thành partition, lập kế hoạch logical/physical plan, rồi phân phối task xuống executor. Cách tiếp cận này phù hợp với pipeline Lakehouse vì cùng một job có thể đọc nhiều nguồn, chuẩn hóa schema, join bảng, tính cột dẫn xuất và ghi ra định dạng bảng phân tích.</w:t>
      </w:r>
    </w:p>
    <w:p w14:paraId="2BCD4100" w14:textId="77777777" w:rsidR="00D055F9" w:rsidRDefault="006C5F42">
      <w:pPr>
        <w:spacing w:after="120" w:line="312" w:lineRule="auto"/>
        <w:ind w:firstLine="567"/>
        <w:jc w:val="both"/>
      </w:pPr>
      <w:r>
        <w:t>Trong đề tài, Spark được dùng như compute layer cho Bronze, Silver và Gold. Bronze job đọc event từ Kafka và ghi raw document vào Iceberg; Silver job parse JSON, ép kiểu, masking PII, deduplicate và chạy NLP inference; Gold job tạo dimension/fact phục vụ BI. Trade-off là Spark đem lại khả năng mở rộng và API mạnh nhưng làm tăng độ phức tạp runtime: phải đồng bộ Python dependency, cấu hình memory/partition, kiểm soát UDF/Pandas UDF, và tránh đưa mô hình quá nặng vào batch job CPU-only.</w:t>
      </w:r>
    </w:p>
    <w:p w14:paraId="2BCD4100" w14:textId="77777777" w:rsidR="00D055F9" w:rsidRDefault="006C5F42">
      <w:pPr>
        <w:spacing w:after="120" w:line="312" w:lineRule="auto"/>
        <w:ind w:firstLine="567"/>
        <w:jc w:val="both"/>
      </w:pPr>
      <w:r>
        <w:t>[MINH CHỨNG HÌNH - Apache Spark: Hình Spark driver/executor hoặc Spark job Bronze/Silver/Gold; ưu tiên ảnh chụp Spark UI/job completed khi khả dụng.]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t>Apache Iceberg là open table format cho bảng phân tích lớn trên data lake [7].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2A49E2E" w14:textId="77777777" w:rsidR="00D055F9" w:rsidRDefault="006C5F42">
      <w:pPr>
        <w:spacing w:after="120" w:line="312" w:lineRule="auto"/>
        <w:ind w:firstLine="567"/>
        <w:jc w:val="both"/>
      </w:pPr>
      <w:r>
        <w:t>Iceberg không phải là database độc lập mà là table format quản lý metadata cho dữ liệu nằm trên object/file storage. Một bảng Iceberg gồm metadata file, snapshot, manifest list, manifest file và data/delete files. Snapshot cho phép bảng có lịch sử phiên bản; manifest giúp engine biết file nào thuộc snapshot nào; schema evolution và partition evolution cho phép thay đổi lược đồ hoặc cách phân vùng mà không phải rewrite toàn bộ dữ liệu [7].</w:t>
      </w:r>
    </w:p>
    <w:p w14:paraId="42A49E2E" w14:textId="77777777" w:rsidR="00D055F9" w:rsidRDefault="006C5F42">
      <w:pPr>
        <w:spacing w:after="120" w:line="312" w:lineRule="auto"/>
        <w:ind w:firstLine="567"/>
        <w:jc w:val="both"/>
      </w:pPr>
      <w:r>
        <w:t>Vai trò của Iceberg trong đề tài là biến MinIO từ nơi chứa file thành Lakehouse table layer có thể truy vấn và cập nhật có kiểm soát. Tầng Bronze cần lưu raw document để audit; tầng Silver cần cập nhật theo khóa nghiệp vụ sau deduplicate; tầng Gold cần MERGE/overwrite các bảng dimension và fact. Nếu chỉ ghi Parquet rời rạc, pipeline sẽ khó quản lý snapshot, schema, partition và upsert. Trade-off là hệ thống phải cấu hình catalog/warehouse đúng, quản lý metadata, và hiểu rằng performance phụ thuộc vào số lượng file, partition layout và quá trình compaction.</w:t>
      </w:r>
    </w:p>
    <w:p w14:paraId="42A49E2E" w14:textId="77777777" w:rsidR="00D055F9" w:rsidRDefault="006C5F42">
      <w:pPr>
        <w:spacing w:after="120" w:line="312" w:lineRule="auto"/>
        <w:ind w:firstLine="567"/>
        <w:jc w:val="both"/>
      </w:pPr>
      <w:r>
        <w:t>[MINH CHỨNG HÌNH - Apache Iceberg: Sơ đồ metadata.json, manifest list, manifest files và data files; liên hệ với snapshot/schema evolution/MERGE INTO.]</w:t>
      </w:r>
    </w:p>
    <w:p w14:paraId="40551D35" w14:textId="77777777" w:rsidR="00D055F9" w:rsidRDefault="006C5F42">
      <w:pPr>
        <w:spacing w:before="80" w:after="80"/>
        <w:ind w:left="397" w:right="397"/>
        <w:jc w:val="both"/>
      </w:pPr>
      <w:r>
        <w:t>[MINH CHỨNG HÌNH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t>Object storage lưu dữ liệu dưới dạng object trong bucket và phù hợp với các workload dữ liệu lớn. MinIO là object storage tương thích S3, có thể triển khai nội bộ bằng Docker [9], [33]. Trong đề tài, MinIO lưu warehouse của Iceberg và các bucket bronze, silver, gold, lakehouse.</w:t>
      </w:r>
    </w:p>
    <w:p w14:paraId="1565667C" w14:textId="77777777" w:rsidR="00D055F9" w:rsidRDefault="006C5F42">
      <w:pPr>
        <w:spacing w:after="120" w:line="312" w:lineRule="auto"/>
        <w:ind w:firstLine="567"/>
        <w:jc w:val="both"/>
      </w:pPr>
      <w:r>
        <w:t>Object storage tổ chức dữ liệu theo bucket và object key, khác với file system truyền thống ở chỗ nó tối ưu cho lưu trữ dữ liệu bất biến/quy mô lớn và truy cập qua API. MinIO cung cấp API tương thích S3 và có thể chạy bằng container, vì vậy phù hợp để mô phỏng một lớp storage nội bộ cho Lakehouse trong môi trường local [9], [33]. Đối với Iceberg, object storage là nơi đặt data files và metadata files, còn Spark/Iceberg đảm nhiệm việc diễn giải bảng.</w:t>
      </w:r>
    </w:p>
    <w:p w14:paraId="1565667C" w14:textId="77777777" w:rsidR="00D055F9" w:rsidRDefault="006C5F42">
      <w:pPr>
        <w:spacing w:after="120" w:line="312" w:lineRule="auto"/>
        <w:ind w:firstLine="567"/>
        <w:jc w:val="both"/>
      </w:pPr>
      <w:r>
        <w:t>Trong phạm vi prototype, MinIO giúp tách compute và storage: Spark có thể dừng/chạy lại mà dữ liệu Iceberg vẫn nằm trong warehouse. Cách này gần với mô hình cloud data lake nhưng vẫn chạy được local. Hạn chế là MinIO một node trong Docker Compose chưa đại diện cho production storage có replication, erasure coding, access policy đầy đủ và monitoring. Vì vậy báo cáo cần xem MinIO local như môi trường mô phỏng kiến trúc, không phải chứng minh độ sẵn sàng production.</w:t>
      </w:r>
    </w:p>
    <w:p w14:paraId="1565667C" w14:textId="77777777" w:rsidR="00D055F9" w:rsidRDefault="006C5F42">
      <w:pPr>
        <w:spacing w:after="120" w:line="312" w:lineRule="auto"/>
        <w:ind w:firstLine="567"/>
        <w:jc w:val="both"/>
      </w:pPr>
      <w:r>
        <w:t>[MINH CHỨNG HÌNH - MinIO/Object Storage: Ảnh chụp MinIO bucket warehouse/bronze/silver/gold hoặc sơ đồ Iceberg warehouse đặt trên S3-compatible object storage.]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t>[MINH CHỨNG HÌNH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t>Apache Airflow điều phối workflow theo DAG [8].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1104BA62" w14:textId="77777777" w:rsidR="00D055F9" w:rsidRDefault="006C5F42">
      <w:pPr>
        <w:spacing w:after="120" w:line="312" w:lineRule="auto"/>
        <w:ind w:firstLine="567"/>
        <w:jc w:val="both"/>
      </w:pPr>
      <w:r>
        <w:t>Airflow mô hình hóa workflow bằng DAG, trong đó mỗi task là một đơn vị thực thi và các cạnh biểu diễn quan hệ phụ thuộc [8]. DAG không xử lý dữ liệu thay cho Spark hay Kafka; nó quản lý thứ tự chạy, retry, timeout, log, trạng thái task và khả năng trigger thủ công/theo lịch. Đây là khác biệt quan trọng: Airflow là orchestration layer, còn logic xử lý dữ liệu vẫn nằm trong Spark jobs, connector hoặc script chuyên trách.</w:t>
      </w:r>
    </w:p>
    <w:p w14:paraId="1104BA62" w14:textId="77777777" w:rsidR="00D055F9" w:rsidRDefault="006C5F42">
      <w:pPr>
        <w:spacing w:after="120" w:line="312" w:lineRule="auto"/>
        <w:ind w:firstLine="567"/>
        <w:jc w:val="both"/>
      </w:pPr>
      <w:r>
        <w:t>Trong đề tài, Airflow giúp biến nhiều bước rời rạc thành một pipeline có thể vận hành: chờ Debezium connector sẵn sàng, chạy Bronze ingestion, chạy Silver ETL, tạo Gold Star Schema và đồng bộ BigQuery. Điều này làm pipeline dễ demo, dễ kiểm tra lỗi và dễ chạy lại. Trade-off là Airflow LocalExecutor trong Docker Compose chưa đại diện cho production orchestration; nếu triển khai thật cần quản lý secrets, schedule, SLA, retry policy, alerting và phân quyền truy cập UI.</w:t>
      </w:r>
    </w:p>
    <w:p w14:paraId="1104BA62" w14:textId="77777777" w:rsidR="00D055F9" w:rsidRDefault="006C5F42">
      <w:pPr>
        <w:spacing w:after="120" w:line="312" w:lineRule="auto"/>
        <w:ind w:firstLine="567"/>
        <w:jc w:val="both"/>
      </w:pPr>
      <w:r>
        <w:t>[MINH CHỨNG HÌNH - Apache Airflow: Ảnh chụp DAG telesales_lakehouse_pipeline với các task wait_for_debezium_connector -&gt; bronze_cdc_ingestion -&gt; silver_etl -&gt; gold_star_schema -&gt; bq_sync_gold.]</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[10].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26031343" w14:textId="77777777" w:rsidR="00D055F9" w:rsidRDefault="006C5F42">
      <w:pPr>
        <w:spacing w:after="120" w:line="312" w:lineRule="auto"/>
        <w:ind w:firstLine="567"/>
        <w:jc w:val="both"/>
      </w:pPr>
      <w:r>
        <w:t>Superset là lớp visualization/BI phía người dùng, có thể kết nối tới các SQL-speaking datastore thông qua DB-API driver và SQLAlchemy dialect [10]. Nó hỗ trợ dataset, chart, dashboard, filter và quyền truy cập. Về mặt kiến trúc, Superset không nên trực tiếp thay thế tầng Gold; nó tiêu thụ dữ liệu đã được mô hình hóa và tối ưu trước đó. Nếu dashboard truy vấn trực tiếp vào nguồn OLTP hoặc bảng raw, phần BI sẽ dễ chậm, khó bảo mật và khó giải thích.</w:t>
      </w:r>
    </w:p>
    <w:p w14:paraId="26031343" w14:textId="77777777" w:rsidR="00D055F9" w:rsidRDefault="006C5F42">
      <w:pPr>
        <w:spacing w:after="120" w:line="312" w:lineRule="auto"/>
        <w:ind w:firstLine="567"/>
        <w:jc w:val="both"/>
      </w:pPr>
      <w:r>
        <w:t>Trong đề tài, Superset được đặt sau Gold/BigQuery để minh họa KPI telesales như total calls, success rate, outcome breakdown, lead source performance và product performance. Cách đặt này giúp người dùng nghiệp vụ chỉ nhìn thấy dữ liệu đã qua masking và tổng hợp, thay vì truy cập raw transcript hoặc PII. Hạn chế là dashboard hiện tại chủ yếu chứng minh khả năng phục vụ phân tích; để chuyên nghiệp hơn cần bổ sung quyền truy cập theo role, data freshness indicator và dashboard kỹ thuật cho trạng thái pipeline.</w:t>
      </w:r>
    </w:p>
    <w:p w14:paraId="26031343" w14:textId="77777777" w:rsidR="00D055F9" w:rsidRDefault="006C5F42">
      <w:pPr>
        <w:spacing w:after="120" w:line="312" w:lineRule="auto"/>
        <w:ind w:firstLine="567"/>
        <w:jc w:val="both"/>
      </w:pPr>
      <w:r>
        <w:t>[MINH CHỨNG HÌNH - Apache Superset: Ảnh chụp dashboard Superset hoặc chart KPI đọc từ Gold/BigQuery; nhấn mạnh dashboard không truy vấn MongoDB trực tiếp.]</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[31].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BigQuery là kho dữ liệu phân tích serverless trên Google Cloud, tách người dùng khỏi việc quản trị cụm máy chủ và tập trung vào lưu trữ/truy vấn dữ liệu phân tích [31]. Trong kiến trúc hybrid, BigQuery phù hợp làm serving warehouse cho dữ liệu đã sạch vì nó hỗ trợ truy vấn SQL, view, tích hợp BI và mở rộng theo workload phân tích. Tuy nhiên, việc đưa dữ liệu lên BigQuery cũng tạo ranh giới bảo mật mới: dữ liệu publish phải được tối giản, đã loại PII trực tiếp và có chính sách quyền rõ ràng.</w:t>
      </w:r>
    </w:p>
    <w:p>
      <w:pPr/>
      <w:r>
        <w:t>Looker Studio đóng vai trò lớp báo cáo tương tác trên dữ liệu đã kết nối, trong đó report có thể thêm data source và tạo chart/table/filter cho người dùng nghiệp vụ [32]. Với đề tài, BigQuery/Looker Studio được xem là hướng BI cloud-native, còn Superset là hướng BI mã nguồn mở/local. Việc trình bày cả hai giúp làm rõ tính hybrid: dữ liệu thô và nhạy cảm ở lại Lakehouse local, dữ liệu Gold đã kiểm soát có thể phục vụ dashboard nội bộ hoặc cloud tùy yêu cầu triển khai.</w:t>
      </w:r>
    </w:p>
    <w:p>
      <w:pPr/>
      <w:r>
        <w:t>Looker Studio có thể kết nối trực tiếp với BigQuery để xây dựng báo cáo tương tác mà không cần triển khai thêm máy chủ BI [32].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[MINH CHỨNG HÌNH - BigQuery/Looker Studio: Ảnh chụp BigQuery table/view row count và dashboard Looker Studio; trường hợp Looker Studio chưa được triển khai thật được mô tả là hướng serving BI cloud.]</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[7], [9], còn dữ liệu phục vụ dashboard có thể đồng bộ sang BigQuery/Superset [10], [31].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[12]-[16].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[17]-[20].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pPr/>
      <w: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[27].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pPr/>
      <w: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[28]. Theo khảo sát self-training của Amini và cộng sự (2022), các mẫu pseudo-label có độ tin cậy cao có thể được bổ sung vào tập huấn luyện, trong khi tập kiểm thử vẫn phải giữ ground truth độc lập [29].</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Docker/Compose [33], hỗ trợ CDC, lưu được dữ liệu raw và dữ liệu phân tích, hỗ trợ upsert/merge, tích hợp được NLP và phục vụ dashboard.</w:t>
      </w:r>
    </w:p>
    <w:p>
      <w:pPr/>
      <w:r>
        <w:t>Docker Compose là công cụ định nghĩa và chạy ứng dụng nhiều container bằng file cấu hình, phù hợp để đóng gói một môi trường demo gồm nhiều service phụ thuộc nhau [33]. Trong đồ án, Compose giúp tái lập stack gồm MongoDB, Debezium, Kafka, Spark, MinIO, Airflow và Superset trên một máy local. Giá trị lý thuyết ở đây là khả năng mô hình hóa dependency và network giữa các service, không phải chứng minh tính sẵn sàng cao của production cluster.</w:t>
      </w:r>
    </w:p>
    <w:p>
      <w:pPr/>
      <w:r>
        <w:t>Khi đánh giá bộ công cụ, cần phân biệt rõ vai trò từng lớp: MongoDB là OLTP/source, Debezium/Kafka là ingestion/change transport, Spark là compute, Iceberg/MinIO là Lakehouse storage/table layer, Airflow là orchestration, BigQuery/Superset/Looker Studio là serving/BI. Sự chuyên nghiệp của kiến trúc nằm ở việc mỗi công cụ được đặt đúng vai trò, có dữ liệu đầu vào/đầu ra rõ ràng, có giới hạn được nêu trước và có bằng chứng kiểm thử tương ứng ở Chương 4.</w:t>
      </w:r>
    </w:p>
    <w:p>
      <w:pPr/>
      <w:r>
        <w:t>[MINH CHỨNG HÌNH - Docker Compose: Sơ đồ container hoặc ảnh chụp docker compose ps -a để minh họa môi trường local gồm MongoDB, Debezium, Kafka, Spark, Airflow, MinIO, Superset.]</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t>Sau giai đoạn thực nghiệm bổ sung, đề tài được mở rộng từ pipeline đơn nguồn thành mô hình multi-source Hybrid Data Lakehouse. Dataset AGI Telesales vẫn là nhánh nghiệp vụ nội bộ, có đầy đủ customer, offer, call_logs, transcript và nhãn gốc phục vụ huấn luyện ban đầu. CallCenterEN được nâng lên thành nhánh dataset chính thứ hai để kiểm chứng khả năng tiếp nhận một nguồn call-center độc lập và so sánh khác biệt miền dữ liệu.</w:t>
      </w:r>
    </w:p>
    <w:p>
      <w:r>
        <w:t>Việc đặt CallCenterEN ngang hàng không có nghĩa là trộn lẫn hai nguồn dữ liệu. Hai nhánh được xử lý độc lập, có split huấn luyện/kiểm thử riêng và có mô hình call_code riêng. Cách tổ chức này giúp báo cáo đánh giá được hai câu hỏi khác nhau: dataset chính vận hành tốt đến đâu trong bài toán AGI Telesales, và một nguồn call-center thực tế bên ngoài khác với dữ liệu nội bộ như thế nào.</w:t>
      </w:r>
    </w:p>
    <w:p>
      <w:r>
        <w:t>CallCenterEN thiếu các thực thể nghiệp vụ như customer, offer và campaign nên không thay thế trực tiếp schema nguồn của AGI Telesales. Thay vào đó, nhánh CallCenterEN có schema phân tích riêng, tập trung vào transcript, domain, hướng cuộc gọi, thời lượng, ASR confidence, metadata PII và call_code do mô hình riêng sinh ra. Ranh giới này cho phép so sánh dữ liệu và mô hình mà không làm sai quan hệ nghiệp vụ của dataset chính.</w:t>
      </w:r>
    </w:p>
    <w:p>
      <w:pPr>
        <w:pStyle w:val="Heading4"/>
      </w:pPr>
      <w:r>
        <w:t>2.1.4.1. Nguồn gốc, cách công bố và phạm vi sử dụng CallCenterEN</w:t>
      </w:r>
    </w:p>
    <w:p>
      <w:pPr/>
      <w:r>
        <w:t>CallCenterEN là tập dữ liệu transcript call center tiếng Anh được giới thiệu trong bài báo Real-World En Call Center Transcripts Dataset with PII Redaction của Dao, Chawla, Banda và DeLeeuw, công bố trên arXiv năm 2025 [25]. Dataset card được phát hành công khai trên Hugging Face bởi AIxBlock với tên 92k-real-world-call-center-scripts-english [26].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triển khai mở rộng, nghiên cứu tạo candidate dataset gồm 15.000 dòng CallCenterEN từ nhiều domain như medicare, insurance, home_service_telecom, automotive, customer_service và medical_equipment. Tập này không còn chỉ là subset phụ trợ nhỏ, mà được dùng làm nguồn đầu vào chính cho nhánh CallCenterEN trong Lakehouse.</w:t>
      </w:r>
    </w:p>
    <w:p>
      <w:r>
        <w:t>Sau khi dừng quá trình sinh pseudo-label, workspace ghi nhận 2.420 dòng đã được Gemini gán nhãn, trong đó 2.340 dòng vượt ngưỡng chất lượng mặc định. Khi merge với candidate dataset và lọc theo should_use_for_training=true, pseudo_label_confidence &gt;= 0,80 và pseudo_call_code không rỗng, tập huấn luyện chính thức còn 2.260 dòng có text_hash duy nhất.</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sử dụng theo hai lớp vai trò. Lớp thứ nhất là cơ sở học thuật để giải thích đặc trưng transcript, PII, duration và domain shift trong dữ liệu call center. Lớp thứ hai là nhánh dữ liệu thực nghiệm độc lập, có split, mô hình và bảng Lakehouse riêng để so sánh với dataset AGI Telesales.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t>Cần phân biệt rõ các mốc dữ liệu trong nghiên cứu: 3.000 mẫu ban đầu phục vụ phân tích đặc trưng và thiết kế prompt; 15.000 dòng candidate là nguồn của nhánh CallCenterEN; 2.260 dòng pseudo-label đạt ngưỡng được dùng để train/valid/test model riêng; sau đó model đã được áp dụng lại cho toàn bộ 15.000 dòng để sinh model_call_code.</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pPr/>
      <w:r>
        <w:t>CallCenterEN là tập transcript call center tiếng Anh được công bố công khai trong bài báo Real-World En Call Center Transcripts Dataset with PII Redaction [25], [26].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t>Bảng so sánh cho thấy hai nguồn dữ liệu có vai trò khác nhau trong cùng kiến trúc multi-source. Dataset AGI Telesales có quan hệ customer-offer-call đầy đủ để phục vụ star schema nghiệp vụ, còn CallCenterEN có transcript thật, domain đa dạng và metadata PII phong phú để kiểm chứng tính tổng quát của thiết kế xử lý hội thoại. Vì vậy, CallCenterEN không thay thế dataset chính, nhưng được tổ chức như một nhánh dữ liệu chính ngang hàng trong lớp thực nghiệm so sánh.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pPr/>
      <w:r>
        <w:t>Quy trình chuẩn bị CallCenterEN sau khi mở rộng được tổ chức thành ba bước: tạo candidate dataset 15.000 dòng, sinh pseudo-label cho một phần dữ liệu, sau đó tạo split deterministic cho tập đạt ngưỡng chất lượng. Script prepare_callcenteren_splits.py merge callcenteren_15k_candidate.csv với pseudo_labels_gemini.csv qua text_hash, giúp tránh phụ thuộc vào thứ tự dòng hoặc tên file gốc.</w:t>
      </w:r>
    </w:p>
    <w:p>
      <w:pPr/>
      <w:r>
        <w:t>Điều kiện lọc mặc định gồm should_use_for_training=true, pseudo_label_confidence &gt;= 0,80 và pseudo_call_code không rỗng. Sau khi lọc, tập dữ liệu còn 2.260 dòng duy nhất theo text_hash, có confidence trung bình 0,8901. Split được tạo theo hash cố định với tỷ lệ 70/15/15, tương ứng 1.598 dòng train, 315 dòng validation và 347 dòng test.</w:t>
      </w:r>
    </w:p>
    <w:p>
      <w:pPr>
        <w:pStyle w:val="ReportCaption"/>
      </w:pPr>
      <w:r>
        <w:t>Bảng 2.11. Kết quả chuẩn bị split CallCenterEN sau pseudo-label</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Hạng mục</w:t>
            </w:r>
          </w:p>
        </w:tc>
        <w:tc>
          <w:tcPr>
            <w:tcW w:type="dxa" w:w="3120"/>
          </w:tcPr>
          <w:p>
            <w:r/>
            <w:r>
              <w:rPr>
                <w:b/>
              </w:rPr>
              <w:t>Giá trị</w:t>
            </w:r>
          </w:p>
        </w:tc>
        <w:tc>
          <w:tcPr>
            <w:tcW w:type="dxa" w:w="3120"/>
          </w:tcPr>
          <w:p>
            <w:r/>
            <w:r>
              <w:rPr>
                <w:b/>
              </w:rPr>
              <w:t>Ý nghĩa</w:t>
            </w:r>
          </w:p>
        </w:tc>
      </w:tr>
      <w:tr>
        <w:tc>
          <w:tcPr>
            <w:tcW w:type="dxa" w:w="3120"/>
          </w:tcPr>
          <w:p>
            <w:r/>
            <w:r>
              <w:rPr>
                <w:b w:val="0"/>
              </w:rPr>
              <w:t>Candidate dataset</w:t>
            </w:r>
          </w:p>
        </w:tc>
        <w:tc>
          <w:tcPr>
            <w:tcW w:type="dxa" w:w="3120"/>
          </w:tcPr>
          <w:p>
            <w:r/>
            <w:r>
              <w:rPr>
                <w:b w:val="0"/>
              </w:rPr>
              <w:t>15.000 dòng</w:t>
            </w:r>
          </w:p>
        </w:tc>
        <w:tc>
          <w:tcPr>
            <w:tcW w:type="dxa" w:w="3120"/>
          </w:tcPr>
          <w:p>
            <w:r/>
            <w:r>
              <w:rPr>
                <w:b w:val="0"/>
              </w:rPr>
              <w:t>Nguồn CallCenterEN dùng cho nhánh dữ liệu thứ hai</w:t>
            </w:r>
          </w:p>
        </w:tc>
      </w:tr>
      <w:tr>
        <w:tc>
          <w:tcPr>
            <w:tcW w:type="dxa" w:w="3120"/>
          </w:tcPr>
          <w:p>
            <w:r/>
            <w:r>
              <w:rPr>
                <w:b w:val="0"/>
              </w:rPr>
              <w:t>Pseudo-label đã sinh</w:t>
            </w:r>
          </w:p>
        </w:tc>
        <w:tc>
          <w:tcPr>
            <w:tcW w:type="dxa" w:w="3120"/>
          </w:tcPr>
          <w:p>
            <w:r/>
            <w:r>
              <w:rPr>
                <w:b w:val="0"/>
              </w:rPr>
              <w:t>2.420 dòng</w:t>
            </w:r>
          </w:p>
        </w:tc>
        <w:tc>
          <w:tcPr>
            <w:tcW w:type="dxa" w:w="3120"/>
          </w:tcPr>
          <w:p>
            <w:r/>
            <w:r>
              <w:rPr>
                <w:b w:val="0"/>
              </w:rPr>
              <w:t>Số dòng được Gemini gán nhãn trước khi dừng gen</w:t>
            </w:r>
          </w:p>
        </w:tc>
      </w:tr>
      <w:tr>
        <w:tc>
          <w:tcPr>
            <w:tcW w:type="dxa" w:w="3120"/>
          </w:tcPr>
          <w:p>
            <w:r/>
            <w:r>
              <w:rPr>
                <w:b w:val="0"/>
              </w:rPr>
              <w:t>Pseudo-label đạt ngưỡng</w:t>
            </w:r>
          </w:p>
        </w:tc>
        <w:tc>
          <w:tcPr>
            <w:tcW w:type="dxa" w:w="3120"/>
          </w:tcPr>
          <w:p>
            <w:r/>
            <w:r>
              <w:rPr>
                <w:b w:val="0"/>
              </w:rPr>
              <w:t>2.340 dòng</w:t>
            </w:r>
          </w:p>
        </w:tc>
        <w:tc>
          <w:tcPr>
            <w:tcW w:type="dxa" w:w="3120"/>
          </w:tcPr>
          <w:p>
            <w:r/>
            <w:r>
              <w:rPr>
                <w:b w:val="0"/>
              </w:rPr>
              <w:t>Dòng vượt điều kiện chất lượng ban đầu</w:t>
            </w:r>
          </w:p>
        </w:tc>
      </w:tr>
      <w:tr>
        <w:tc>
          <w:tcPr>
            <w:tcW w:type="dxa" w:w="3120"/>
          </w:tcPr>
          <w:p>
            <w:r/>
            <w:r>
              <w:rPr>
                <w:b w:val="0"/>
              </w:rPr>
              <w:t>Dòng đưa vào split</w:t>
            </w:r>
          </w:p>
        </w:tc>
        <w:tc>
          <w:tcPr>
            <w:tcW w:type="dxa" w:w="3120"/>
          </w:tcPr>
          <w:p>
            <w:r/>
            <w:r>
              <w:rPr>
                <w:b w:val="0"/>
              </w:rPr>
              <w:t>2.260 dòng</w:t>
            </w:r>
          </w:p>
        </w:tc>
        <w:tc>
          <w:tcPr>
            <w:tcW w:type="dxa" w:w="3120"/>
          </w:tcPr>
          <w:p>
            <w:r/>
            <w:r>
              <w:rPr>
                <w:b w:val="0"/>
              </w:rPr>
              <w:t>Dòng hợp lệ sau merge/lọc và không trùng text_hash</w:t>
            </w:r>
          </w:p>
        </w:tc>
      </w:tr>
      <w:tr>
        <w:tc>
          <w:tcPr>
            <w:tcW w:type="dxa" w:w="3120"/>
          </w:tcPr>
          <w:p>
            <w:r/>
            <w:r>
              <w:rPr>
                <w:b w:val="0"/>
              </w:rPr>
              <w:t>Train/Valid/Test</w:t>
            </w:r>
          </w:p>
        </w:tc>
        <w:tc>
          <w:tcPr>
            <w:tcW w:type="dxa" w:w="3120"/>
          </w:tcPr>
          <w:p>
            <w:r/>
            <w:r>
              <w:rPr>
                <w:b w:val="0"/>
              </w:rPr>
              <w:t>1.598 / 315 / 347</w:t>
            </w:r>
          </w:p>
        </w:tc>
        <w:tc>
          <w:tcPr>
            <w:tcW w:type="dxa" w:w="3120"/>
          </w:tcPr>
          <w:p>
            <w:r/>
            <w:r>
              <w:rPr>
                <w:b w:val="0"/>
              </w:rPr>
              <w:t>Split deterministic theo text_hash</w:t>
            </w:r>
          </w:p>
        </w:tc>
      </w:tr>
    </w:tbl>
    <w:p/>
    <w:p>
      <w:pPr/>
      <w:r>
        <w:t>Pseudo-label được chấp nhận là nhãn tin cậy ở mức pilot để huấn luyện mô hình riêng cho CallCenterEN, nhưng bản chất vẫn là weak label. Do đó, báo cáo tách rõ đánh giá trên CallCenterEN test set với đánh giá trên dataset chính, không dùng test set của nguồn này để huấn luyện cho nguồn kia.</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[17]-[20].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và kiến trúc Transformer/BERT [21], [22].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NLP_MODEL_TYPE=roberta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t>2.6.7. Mô hình riêng cho nhánh CallCenterEN</w:t>
      </w:r>
    </w:p>
    <w:p>
      <w:pPr/>
      <w:r>
        <w:t>Sau thí nghiệm multi-source ban đầu, hướng triển khai được điều chỉnh từ combined model sang hai mô hình riêng. Dataset AGI Telesales tiếp tục sử dụng BoW + Logistic Regression hiện có cho pipeline Silver chính; CallCenterEN sử dụng một model BoW/TF-IDF riêng được huấn luyện và tinh chỉnh ngưỡng trên split CallCenterEN. Quyết định này phù hợp với kết quả domain shift: model huấn luyện trên dataset chính khi đánh sang CallCenterEN chỉ đạt micro-F1 0,3970 và macro-F1 0,1017.</w:t>
      </w:r>
    </w:p>
    <w:p>
      <w:pPr/>
      <w:r>
        <w:t>Script finetune_callcenteren_bow.py thử nhiều biến thể CountVectorizer/TF-IDF, Logistic Regression và tinh chỉnh threshold theo validation. Model được chọn theo validation micro-F1 rồi Jaccard là count_word_lr_threshold. Sau khi chọn model, artifact được lưu tại callcenteren_best_finetuned_model.pkl và được áp dụng cho toàn bộ 15.000 dòng CallCenterEN để sinh model_call_code cùng confidence.</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BoW + Logistic Regression; RoBERTa được giữ như cấu hình thí nghiệm có thể bật lại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t>Superset phục vụ dashboard BI, còn dashboard tĩnh giúp xem nhanh file dashboard_data.json. Các biểu đồ được tổ chức quanh các KPI chính gồm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t>Các minh chứng dashboard trong báo cáo được ưu tiên gắn với dữ liệu thật từ Gold hoặc BigQuery, thay vì dùng giao diện minh họa rỗng. Cách trình bày này giúp hình ảnh liên kết trực tiếp với kiến trúc dữ liệu đã triển khai và làm rõ dashboard đọc từ lớp serving nào.</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t>4.5.5. Thực nghiệm CallCenterEN như nhánh dataset chính</w:t>
      </w:r>
    </w:p>
    <w:p>
      <w:pPr/>
      <w:r>
        <w:t>Thực nghiệm CallCenterEN được chạy lại theo hướng nhánh dataset chính thứ hai, thay vì chỉ xem như tập phụ trợ. Trước khi huấn luyện model riêng, model BoW đã huấn luyện trên dataset AGI Telesales được đánh giá trên 2.260 dòng CallCenterEN đạt exact match 0,0004, Jaccard trung bình 0,2606, micro-F1 0,3970 và macro-F1 0,1017. Kết quả này là bằng chứng trực tiếp cho domain shift giữa hai nguồn dữ liệu.</w:t>
      </w:r>
    </w:p>
    <w:p>
      <w:pPr/>
      <w:r>
        <w:t>Do đó, nghiên cứu chuyển sang huấn luyện và tinh chỉnh ngưỡng cho model riêng của CallCenterEN. Ba cấu hình chính được thử gồm count_word_lr_threshold, tfidf_word_lr_threshold và tfidf_word_char_lr_threshold. Model count_word_lr_threshold được chọn vì có validation micro-F1 cao nhất trong tiêu chí chọn model, dù một số cấu hình TF-IDF có weighted-F1 test nhỉnh hơn.</w:t>
      </w:r>
    </w:p>
    <w:p>
      <w:pPr>
        <w:pStyle w:val="ReportCaption"/>
      </w:pPr>
      <w:r>
        <w:t>Bảng 4.5. Kết quả huấn luyện và tinh chỉnh model riêng cho CallCenterEN</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Model</w:t>
            </w:r>
          </w:p>
        </w:tc>
        <w:tc>
          <w:tcPr>
            <w:tcW w:type="dxa" w:w="1170"/>
          </w:tcPr>
          <w:p>
            <w:r/>
            <w:r>
              <w:rPr>
                <w:b/>
              </w:rPr>
              <w:t>Split</w:t>
            </w:r>
          </w:p>
        </w:tc>
        <w:tc>
          <w:tcPr>
            <w:tcW w:type="dxa" w:w="1170"/>
          </w:tcPr>
          <w:p>
            <w:r/>
            <w:r>
              <w:rPr>
                <w:b/>
              </w:rPr>
              <w:t>Rows</w:t>
            </w:r>
          </w:p>
        </w:tc>
        <w:tc>
          <w:tcPr>
            <w:tcW w:type="dxa" w:w="1170"/>
          </w:tcPr>
          <w:p>
            <w:r/>
            <w:r>
              <w:rPr>
                <w:b/>
              </w:rPr>
              <w:t>Exact match</w:t>
            </w:r>
          </w:p>
        </w:tc>
        <w:tc>
          <w:tcPr>
            <w:tcW w:type="dxa" w:w="1170"/>
          </w:tcPr>
          <w:p>
            <w:r/>
            <w:r>
              <w:rPr>
                <w:b/>
              </w:rPr>
              <w:t>Avg Jaccard</w:t>
            </w:r>
          </w:p>
        </w:tc>
        <w:tc>
          <w:tcPr>
            <w:tcW w:type="dxa" w:w="1170"/>
          </w:tcPr>
          <w:p>
            <w:r/>
            <w:r>
              <w:rPr>
                <w:b/>
              </w:rPr>
              <w:t>Micro-F1</w:t>
            </w:r>
          </w:p>
        </w:tc>
        <w:tc>
          <w:tcPr>
            <w:tcW w:type="dxa" w:w="1170"/>
          </w:tcPr>
          <w:p>
            <w:r/>
            <w:r>
              <w:rPr>
                <w:b/>
              </w:rPr>
              <w:t>Macro-F1</w:t>
            </w:r>
          </w:p>
        </w:tc>
        <w:tc>
          <w:tcPr>
            <w:tcW w:type="dxa" w:w="1170"/>
          </w:tcPr>
          <w:p>
            <w:r/>
            <w:r>
              <w:rPr>
                <w:b/>
              </w:rPr>
              <w:t>Weighted-F1</w:t>
            </w:r>
          </w:p>
        </w:tc>
      </w:tr>
      <w:tr>
        <w:tc>
          <w:tcPr>
            <w:tcW w:type="dxa" w:w="1170"/>
          </w:tcPr>
          <w:p>
            <w:r/>
            <w:r>
              <w:rPr>
                <w:b w:val="0"/>
              </w:rPr>
              <w:t>count_word_lr_threshold</w:t>
            </w:r>
          </w:p>
        </w:tc>
        <w:tc>
          <w:tcPr>
            <w:tcW w:type="dxa" w:w="1170"/>
          </w:tcPr>
          <w:p>
            <w:r/>
            <w:r>
              <w:rPr>
                <w:b w:val="0"/>
              </w:rPr>
              <w:t>valid</w:t>
            </w:r>
          </w:p>
        </w:tc>
        <w:tc>
          <w:tcPr>
            <w:tcW w:type="dxa" w:w="1170"/>
          </w:tcPr>
          <w:p>
            <w:r/>
            <w:r>
              <w:rPr>
                <w:b w:val="0"/>
              </w:rPr>
              <w:t>315</w:t>
            </w:r>
          </w:p>
        </w:tc>
        <w:tc>
          <w:tcPr>
            <w:tcW w:type="dxa" w:w="1170"/>
          </w:tcPr>
          <w:p>
            <w:r/>
            <w:r>
              <w:rPr>
                <w:b w:val="0"/>
              </w:rPr>
              <w:t>0,1302</w:t>
            </w:r>
          </w:p>
        </w:tc>
        <w:tc>
          <w:tcPr>
            <w:tcW w:type="dxa" w:w="1170"/>
          </w:tcPr>
          <w:p>
            <w:r/>
            <w:r>
              <w:rPr>
                <w:b w:val="0"/>
              </w:rPr>
              <w:t>0,6144</w:t>
            </w:r>
          </w:p>
        </w:tc>
        <w:tc>
          <w:tcPr>
            <w:tcW w:type="dxa" w:w="1170"/>
          </w:tcPr>
          <w:p>
            <w:r/>
            <w:r>
              <w:rPr>
                <w:b w:val="0"/>
              </w:rPr>
              <w:t>0,7411</w:t>
            </w:r>
          </w:p>
        </w:tc>
        <w:tc>
          <w:tcPr>
            <w:tcW w:type="dxa" w:w="1170"/>
          </w:tcPr>
          <w:p>
            <w:r/>
            <w:r>
              <w:rPr>
                <w:b w:val="0"/>
              </w:rPr>
              <w:t>0,2210</w:t>
            </w:r>
          </w:p>
        </w:tc>
        <w:tc>
          <w:tcPr>
            <w:tcW w:type="dxa" w:w="1170"/>
          </w:tcPr>
          <w:p>
            <w:r/>
            <w:r>
              <w:rPr>
                <w:b w:val="0"/>
              </w:rPr>
              <w:t>0,7273</w:t>
            </w:r>
          </w:p>
        </w:tc>
      </w:tr>
      <w:tr>
        <w:tc>
          <w:tcPr>
            <w:tcW w:type="dxa" w:w="1170"/>
          </w:tcPr>
          <w:p>
            <w:r/>
            <w:r>
              <w:rPr>
                <w:b w:val="0"/>
              </w:rPr>
              <w:t>count_word_lr_threshold</w:t>
            </w:r>
          </w:p>
        </w:tc>
        <w:tc>
          <w:tcPr>
            <w:tcW w:type="dxa" w:w="1170"/>
          </w:tcPr>
          <w:p>
            <w:r/>
            <w:r>
              <w:rPr>
                <w:b w:val="0"/>
              </w:rPr>
              <w:t>test</w:t>
            </w:r>
          </w:p>
        </w:tc>
        <w:tc>
          <w:tcPr>
            <w:tcW w:type="dxa" w:w="1170"/>
          </w:tcPr>
          <w:p>
            <w:r/>
            <w:r>
              <w:rPr>
                <w:b w:val="0"/>
              </w:rPr>
              <w:t>347</w:t>
            </w:r>
          </w:p>
        </w:tc>
        <w:tc>
          <w:tcPr>
            <w:tcW w:type="dxa" w:w="1170"/>
          </w:tcPr>
          <w:p>
            <w:r/>
            <w:r>
              <w:rPr>
                <w:b w:val="0"/>
              </w:rPr>
              <w:t>0,1412</w:t>
            </w:r>
          </w:p>
        </w:tc>
        <w:tc>
          <w:tcPr>
            <w:tcW w:type="dxa" w:w="1170"/>
          </w:tcPr>
          <w:p>
            <w:r/>
            <w:r>
              <w:rPr>
                <w:b w:val="0"/>
              </w:rPr>
              <w:t>0,5943</w:t>
            </w:r>
          </w:p>
        </w:tc>
        <w:tc>
          <w:tcPr>
            <w:tcW w:type="dxa" w:w="1170"/>
          </w:tcPr>
          <w:p>
            <w:r/>
            <w:r>
              <w:rPr>
                <w:b w:val="0"/>
              </w:rPr>
              <w:t>0,7241</w:t>
            </w:r>
          </w:p>
        </w:tc>
        <w:tc>
          <w:tcPr>
            <w:tcW w:type="dxa" w:w="1170"/>
          </w:tcPr>
          <w:p>
            <w:r/>
            <w:r>
              <w:rPr>
                <w:b w:val="0"/>
              </w:rPr>
              <w:t>0,1933</w:t>
            </w:r>
          </w:p>
        </w:tc>
        <w:tc>
          <w:tcPr>
            <w:tcW w:type="dxa" w:w="1170"/>
          </w:tcPr>
          <w:p>
            <w:r/>
            <w:r>
              <w:rPr>
                <w:b w:val="0"/>
              </w:rPr>
              <w:t>0,7128</w:t>
            </w:r>
          </w:p>
        </w:tc>
      </w:tr>
      <w:tr>
        <w:tc>
          <w:tcPr>
            <w:tcW w:type="dxa" w:w="1170"/>
          </w:tcPr>
          <w:p>
            <w:r/>
            <w:r>
              <w:rPr>
                <w:b w:val="0"/>
              </w:rPr>
              <w:t>tfidf_word_lr_threshold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0,6049</w:t>
            </w:r>
          </w:p>
        </w:tc>
        <w:tc>
          <w:tcPr>
            <w:tcW w:type="dxa" w:w="1170"/>
          </w:tcPr>
          <w:p>
            <w:r/>
            <w:r>
              <w:rPr>
                <w:b w:val="0"/>
              </w:rPr>
              <w:t>0,7360</w:t>
            </w:r>
          </w:p>
        </w:tc>
        <w:tc>
          <w:tcPr>
            <w:tcW w:type="dxa" w:w="1170"/>
          </w:tcPr>
          <w:p>
            <w:r/>
            <w:r>
              <w:rPr>
                <w:b w:val="0"/>
              </w:rPr>
              <w:t>0,2080</w:t>
            </w:r>
          </w:p>
        </w:tc>
        <w:tc>
          <w:tcPr>
            <w:tcW w:type="dxa" w:w="1170"/>
          </w:tcPr>
          <w:p>
            <w:r/>
            <w:r>
              <w:rPr>
                <w:b w:val="0"/>
              </w:rPr>
              <w:t>0,7426</w:t>
            </w:r>
          </w:p>
        </w:tc>
      </w:tr>
      <w:tr>
        <w:tc>
          <w:tcPr>
            <w:tcW w:type="dxa" w:w="1170"/>
          </w:tcPr>
          <w:p>
            <w:r/>
            <w:r>
              <w:rPr>
                <w:b w:val="0"/>
              </w:rPr>
              <w:t>tfidf_word_char_lr_threshold</w:t>
            </w:r>
          </w:p>
        </w:tc>
        <w:tc>
          <w:tcPr>
            <w:tcW w:type="dxa" w:w="1170"/>
          </w:tcPr>
          <w:p>
            <w:r/>
            <w:r>
              <w:rPr>
                <w:b w:val="0"/>
              </w:rPr>
              <w:t>test</w:t>
            </w:r>
          </w:p>
        </w:tc>
        <w:tc>
          <w:tcPr>
            <w:tcW w:type="dxa" w:w="1170"/>
          </w:tcPr>
          <w:p>
            <w:r/>
            <w:r>
              <w:rPr>
                <w:b w:val="0"/>
              </w:rPr>
              <w:t>347</w:t>
            </w:r>
          </w:p>
        </w:tc>
        <w:tc>
          <w:tcPr>
            <w:tcW w:type="dxa" w:w="1170"/>
          </w:tcPr>
          <w:p>
            <w:r/>
            <w:r>
              <w:rPr>
                <w:b w:val="0"/>
              </w:rPr>
              <w:t>0,1326</w:t>
            </w:r>
          </w:p>
        </w:tc>
        <w:tc>
          <w:tcPr>
            <w:tcW w:type="dxa" w:w="1170"/>
          </w:tcPr>
          <w:p>
            <w:r/>
            <w:r>
              <w:rPr>
                <w:b w:val="0"/>
              </w:rPr>
              <w:t>0,5983</w:t>
            </w:r>
          </w:p>
        </w:tc>
        <w:tc>
          <w:tcPr>
            <w:tcW w:type="dxa" w:w="1170"/>
          </w:tcPr>
          <w:p>
            <w:r/>
            <w:r>
              <w:rPr>
                <w:b w:val="0"/>
              </w:rPr>
              <w:t>0,7312</w:t>
            </w:r>
          </w:p>
        </w:tc>
        <w:tc>
          <w:tcPr>
            <w:tcW w:type="dxa" w:w="1170"/>
          </w:tcPr>
          <w:p>
            <w:r/>
            <w:r>
              <w:rPr>
                <w:b w:val="0"/>
              </w:rPr>
              <w:t>0,2147</w:t>
            </w:r>
          </w:p>
        </w:tc>
        <w:tc>
          <w:tcPr>
            <w:tcW w:type="dxa" w:w="1170"/>
          </w:tcPr>
          <w:p>
            <w:r/>
            <w:r>
              <w:rPr>
                <w:b w:val="0"/>
              </w:rPr>
              <w:t>0,7396</w:t>
            </w:r>
          </w:p>
        </w:tc>
      </w:tr>
    </w:tbl>
    <w:p/>
    <w:p>
      <w:pPr/>
      <w:r>
        <w:t>Để phần thực nghiệm dễ quan sát hơn, kết quả được tổng hợp lại theo góc nhìn hai mô hình riêng. Bảng dưới đây không chỉ so sánh chỉ số trong cùng miền dữ liệu, mà còn cho thấy khi model của dataset chính được đem đánh sang CallCenterEN thì hiệu năng giảm mạnh. Đây là cơ sở thực nghiệm cho quyết định không dùng một combined model duy nhất ở giai đoạn hiện tại.</w:t>
      </w:r>
    </w:p>
    <w:p>
      <w:pPr/>
      <w:r>
        <w:t>Dòng AGI Telesales đúng miền trong bảng sử dụng kết quả từ notebook NLP_model.ipynb; hai dòng liên quan đến CallCenterEN sử dụng kết quả từ các script thực nghiệm CallCenterEN. Bảng được dùng để quan sát xu hướng domain shift và định vị hai model riêng, không thay thế một benchmark duy nhất được huấn luyện và đánh giá lại trong cùng một lần chạy.</w:t>
      </w:r>
    </w:p>
    <w:p>
      <w:pPr>
        <w:pStyle w:val="ReportCaption"/>
      </w:pPr>
      <w:r>
        <w:t>Bảng 4.6. So sánh trực quan hai mô hình theo nguồn dữ liệu</w:t>
      </w:r>
    </w:p>
    <w:tbl>
      <w:tblPr>
        <w:tblStyle w:val="TableGrid"/>
        <w:tblW w:type="pct" w:w="500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rPr>
              <w:t>Kịch bản</w:t>
            </w:r>
          </w:p>
        </w:tc>
        <w:tc>
          <w:tcPr>
            <w:tcW w:type="dxa" w:w="1170"/>
          </w:tcPr>
          <w:p>
            <w:r/>
            <w:r>
              <w:rPr>
                <w:b/>
              </w:rPr>
              <w:t>Model</w:t>
            </w:r>
          </w:p>
        </w:tc>
        <w:tc>
          <w:tcPr>
            <w:tcW w:type="dxa" w:w="1170"/>
          </w:tcPr>
          <w:p>
            <w:r/>
            <w:r>
              <w:rPr>
                <w:b/>
              </w:rPr>
              <w:t>Train</w:t>
            </w:r>
          </w:p>
        </w:tc>
        <w:tc>
          <w:tcPr>
            <w:tcW w:type="dxa" w:w="1170"/>
          </w:tcPr>
          <w:p>
            <w:r/>
            <w:r>
              <w:rPr>
                <w:b/>
              </w:rPr>
              <w:t>Test</w:t>
            </w:r>
          </w:p>
        </w:tc>
        <w:tc>
          <w:tcPr>
            <w:tcW w:type="dxa" w:w="1170"/>
          </w:tcPr>
          <w:p>
            <w:r/>
            <w:r>
              <w:rPr>
                <w:b/>
              </w:rPr>
              <w:t>Exact match</w:t>
            </w:r>
          </w:p>
        </w:tc>
        <w:tc>
          <w:tcPr>
            <w:tcW w:type="dxa" w:w="1170"/>
          </w:tcPr>
          <w:p>
            <w:r/>
            <w:r>
              <w:rPr>
                <w:b/>
              </w:rPr>
              <w:t>Micro-F1</w:t>
            </w:r>
          </w:p>
        </w:tc>
        <w:tc>
          <w:tcPr>
            <w:tcW w:type="dxa" w:w="1170"/>
          </w:tcPr>
          <w:p>
            <w:r/>
            <w:r>
              <w:rPr>
                <w:b/>
              </w:rPr>
              <w:t>Macro-F1</w:t>
            </w:r>
          </w:p>
        </w:tc>
        <w:tc>
          <w:tcPr>
            <w:tcW w:type="dxa" w:w="1170"/>
          </w:tcPr>
          <w:p>
            <w:r/>
            <w:r>
              <w:rPr>
                <w:b/>
              </w:rPr>
              <w:t>Nhận xét</w:t>
            </w:r>
          </w:p>
        </w:tc>
      </w:tr>
      <w:tr>
        <w:tc>
          <w:tcPr>
            <w:tcW w:type="dxa" w:w="1170"/>
          </w:tcPr>
          <w:p>
            <w:r/>
            <w:r>
              <w:rPr>
                <w:b w:val="0"/>
              </w:rPr>
              <w:t>Đúng miền dataset chính</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AGI Telesales test</w:t>
            </w:r>
          </w:p>
        </w:tc>
        <w:tc>
          <w:tcPr>
            <w:tcW w:type="dxa" w:w="1170"/>
          </w:tcPr>
          <w:p>
            <w:r/>
            <w:r>
              <w:rPr>
                <w:b w:val="0"/>
              </w:rPr>
              <w:t>0,1789</w:t>
            </w:r>
          </w:p>
        </w:tc>
        <w:tc>
          <w:tcPr>
            <w:tcW w:type="dxa" w:w="1170"/>
          </w:tcPr>
          <w:p>
            <w:r/>
            <w:r>
              <w:rPr>
                <w:b w:val="0"/>
              </w:rPr>
              <w:t>0,7016</w:t>
            </w:r>
          </w:p>
        </w:tc>
        <w:tc>
          <w:tcPr>
            <w:tcW w:type="dxa" w:w="1170"/>
          </w:tcPr>
          <w:p>
            <w:r/>
            <w:r>
              <w:rPr>
                <w:b w:val="0"/>
              </w:rPr>
              <w:t>0,6208</w:t>
            </w:r>
          </w:p>
        </w:tc>
        <w:tc>
          <w:tcPr>
            <w:tcW w:type="dxa" w:w="1170"/>
          </w:tcPr>
          <w:p>
            <w:r/>
            <w:r>
              <w:rPr>
                <w:b w:val="0"/>
              </w:rPr>
              <w:t>Mô hình production cho pipeline Silver chính</w:t>
            </w:r>
          </w:p>
        </w:tc>
      </w:tr>
      <w:tr>
        <w:tc>
          <w:tcPr>
            <w:tcW w:type="dxa" w:w="1170"/>
          </w:tcPr>
          <w:p>
            <w:r/>
            <w:r>
              <w:rPr>
                <w:b w:val="0"/>
              </w:rPr>
              <w:t>Đánh chéo sang CallCenterEN</w:t>
            </w:r>
          </w:p>
        </w:tc>
        <w:tc>
          <w:tcPr>
            <w:tcW w:type="dxa" w:w="1170"/>
          </w:tcPr>
          <w:p>
            <w:r/>
            <w:r>
              <w:rPr>
                <w:b w:val="0"/>
              </w:rPr>
              <w:t>AGI Telesales BoW + Logistic Regression</w:t>
            </w:r>
          </w:p>
        </w:tc>
        <w:tc>
          <w:tcPr>
            <w:tcW w:type="dxa" w:w="1170"/>
          </w:tcPr>
          <w:p>
            <w:r/>
            <w:r>
              <w:rPr>
                <w:b w:val="0"/>
              </w:rPr>
              <w:t>AGI Telesales train</w:t>
            </w:r>
          </w:p>
        </w:tc>
        <w:tc>
          <w:tcPr>
            <w:tcW w:type="dxa" w:w="1170"/>
          </w:tcPr>
          <w:p>
            <w:r/>
            <w:r>
              <w:rPr>
                <w:b w:val="0"/>
              </w:rPr>
              <w:t>CallCenterEN labeled</w:t>
            </w:r>
          </w:p>
        </w:tc>
        <w:tc>
          <w:tcPr>
            <w:tcW w:type="dxa" w:w="1170"/>
          </w:tcPr>
          <w:p>
            <w:r/>
            <w:r>
              <w:rPr>
                <w:b w:val="0"/>
              </w:rPr>
              <w:t>0,0004</w:t>
            </w:r>
          </w:p>
        </w:tc>
        <w:tc>
          <w:tcPr>
            <w:tcW w:type="dxa" w:w="1170"/>
          </w:tcPr>
          <w:p>
            <w:r/>
            <w:r>
              <w:rPr>
                <w:b w:val="0"/>
              </w:rPr>
              <w:t>0,3970</w:t>
            </w:r>
          </w:p>
        </w:tc>
        <w:tc>
          <w:tcPr>
            <w:tcW w:type="dxa" w:w="1170"/>
          </w:tcPr>
          <w:p>
            <w:r/>
            <w:r>
              <w:rPr>
                <w:b w:val="0"/>
              </w:rPr>
              <w:t>0,1017</w:t>
            </w:r>
          </w:p>
        </w:tc>
        <w:tc>
          <w:tcPr>
            <w:tcW w:type="dxa" w:w="1170"/>
          </w:tcPr>
          <w:p>
            <w:r/>
            <w:r>
              <w:rPr>
                <w:b w:val="0"/>
              </w:rPr>
              <w:t>Hiệu năng giảm rõ, thể hiện domain shift</w:t>
            </w:r>
          </w:p>
        </w:tc>
      </w:tr>
      <w:tr>
        <w:tc>
          <w:tcPr>
            <w:tcW w:type="dxa" w:w="1170"/>
          </w:tcPr>
          <w:p>
            <w:r/>
            <w:r>
              <w:rPr>
                <w:b w:val="0"/>
              </w:rPr>
              <w:t>Đúng miền CallCenterEN</w:t>
            </w:r>
          </w:p>
        </w:tc>
        <w:tc>
          <w:tcPr>
            <w:tcW w:type="dxa" w:w="1170"/>
          </w:tcPr>
          <w:p>
            <w:r/>
            <w:r>
              <w:rPr>
                <w:b w:val="0"/>
              </w:rPr>
              <w:t>CallCenterEN count_word_lr_threshold</w:t>
            </w:r>
          </w:p>
        </w:tc>
        <w:tc>
          <w:tcPr>
            <w:tcW w:type="dxa" w:w="1170"/>
          </w:tcPr>
          <w:p>
            <w:r/>
            <w:r>
              <w:rPr>
                <w:b w:val="0"/>
              </w:rPr>
              <w:t>CallCenterEN train</w:t>
            </w:r>
          </w:p>
        </w:tc>
        <w:tc>
          <w:tcPr>
            <w:tcW w:type="dxa" w:w="1170"/>
          </w:tcPr>
          <w:p>
            <w:r/>
            <w:r>
              <w:rPr>
                <w:b w:val="0"/>
              </w:rPr>
              <w:t>CallCenterEN test</w:t>
            </w:r>
          </w:p>
        </w:tc>
        <w:tc>
          <w:tcPr>
            <w:tcW w:type="dxa" w:w="1170"/>
          </w:tcPr>
          <w:p>
            <w:r/>
            <w:r>
              <w:rPr>
                <w:b w:val="0"/>
              </w:rPr>
              <w:t>0,1412</w:t>
            </w:r>
          </w:p>
        </w:tc>
        <w:tc>
          <w:tcPr>
            <w:tcW w:type="dxa" w:w="1170"/>
          </w:tcPr>
          <w:p>
            <w:r/>
            <w:r>
              <w:rPr>
                <w:b w:val="0"/>
              </w:rPr>
              <w:t>0,7241</w:t>
            </w:r>
          </w:p>
        </w:tc>
        <w:tc>
          <w:tcPr>
            <w:tcW w:type="dxa" w:w="1170"/>
          </w:tcPr>
          <w:p>
            <w:r/>
            <w:r>
              <w:rPr>
                <w:b w:val="0"/>
              </w:rPr>
              <w:t>0,1933</w:t>
            </w:r>
          </w:p>
        </w:tc>
        <w:tc>
          <w:tcPr>
            <w:tcW w:type="dxa" w:w="1170"/>
          </w:tcPr>
          <w:p>
            <w:r/>
            <w:r>
              <w:rPr>
                <w:b w:val="0"/>
              </w:rPr>
              <w:t>Mô hình riêng phù hợp hơn cho nhánh CallCenterEN</w:t>
            </w:r>
          </w:p>
        </w:tc>
      </w:tr>
    </w:tbl>
    <w:p/>
    <w:p>
      <w:pPr/>
      <w:r>
        <w:t>Sau khi chọn model, script áp dụng model lên toàn bộ 15.000 dòng candidate để sinh schema hoàn chỉnh với model_call_code. Tập kết quả có 2.340 dòng giữ được pseudo-label gốc từ Gemini để đối chiếu, confidence trung bình của model_call_code là 0,888. Các nhãn phổ biến nhất gồm OPENING, NEEDS_ANALYSIS, FEE_DISCUSSION, PRODUCT_PITCH, CURIOUS_EXPLORATION và ACTIVE_LISTENING.</w:t>
      </w:r>
    </w:p>
    <w:p>
      <w:pPr/>
      <w:r>
        <w:t>Spark ETL callcenteren_external_job.py đã đọc file schema 15.000 dòng và ghi nhánh CallCenterEN vào Iceberg/MinIO. Kết quả kiểm chứng bằng spark-sql cho thấy bronze_external.callcenteren_raw, silver_external.callcenteren_clean và silver_external.callcenteren_labeled đều có 15.000 dòng; các bảng Gold so sánh cũng được tạo thành công.</w:t>
      </w:r>
    </w:p>
    <w:p>
      <w:pPr>
        <w:pStyle w:val="ReportCaption"/>
      </w:pPr>
      <w:r>
        <w:t>Bảng 4.7. Kết quả ghi bảng Lakehouse cho nhánh CallCenterEN</w:t>
      </w:r>
    </w:p>
    <w:tbl>
      <w:tblPr>
        <w:tblStyle w:val="TableGrid"/>
        <w:tblW w:type="pct" w:w="5000"/>
        <w:tblLayout w:type="autofit"/>
        <w:tblLook w:firstColumn="1" w:firstRow="1" w:lastColumn="0" w:lastRow="0" w:noHBand="0" w:noVBand="1" w:val="04A0"/>
      </w:tblPr>
      <w:tblGrid>
        <w:gridCol w:w="3120"/>
        <w:gridCol w:w="3120"/>
        <w:gridCol w:w="3120"/>
      </w:tblGrid>
      <w:tr>
        <w:tc>
          <w:tcPr>
            <w:tcW w:type="dxa" w:w="3120"/>
          </w:tcPr>
          <w:p>
            <w:r/>
            <w:r>
              <w:rPr>
                <w:b/>
              </w:rPr>
              <w:t>Bảng Lakehouse</w:t>
            </w:r>
          </w:p>
        </w:tc>
        <w:tc>
          <w:tcPr>
            <w:tcW w:type="dxa" w:w="3120"/>
          </w:tcPr>
          <w:p>
            <w:r/>
            <w:r>
              <w:rPr>
                <w:b/>
              </w:rPr>
              <w:t>Số dòng</w:t>
            </w:r>
          </w:p>
        </w:tc>
        <w:tc>
          <w:tcPr>
            <w:tcW w:type="dxa" w:w="3120"/>
          </w:tcPr>
          <w:p>
            <w:r/>
            <w:r>
              <w:rPr>
                <w:b/>
              </w:rPr>
              <w:t>Vai trò</w:t>
            </w:r>
          </w:p>
        </w:tc>
      </w:tr>
      <w:tr>
        <w:tc>
          <w:tcPr>
            <w:tcW w:type="dxa" w:w="3120"/>
          </w:tcPr>
          <w:p>
            <w:r/>
            <w:r>
              <w:rPr>
                <w:b w:val="0"/>
              </w:rPr>
              <w:t>lakehouse.bronze_external.callcenteren_raw</w:t>
            </w:r>
          </w:p>
        </w:tc>
        <w:tc>
          <w:tcPr>
            <w:tcW w:type="dxa" w:w="3120"/>
          </w:tcPr>
          <w:p>
            <w:r/>
            <w:r>
              <w:rPr>
                <w:b w:val="0"/>
              </w:rPr>
              <w:t>15.000</w:t>
            </w:r>
          </w:p>
        </w:tc>
        <w:tc>
          <w:tcPr>
            <w:tcW w:type="dxa" w:w="3120"/>
          </w:tcPr>
          <w:p>
            <w:r/>
            <w:r>
              <w:rPr>
                <w:b w:val="0"/>
              </w:rPr>
              <w:t>Lưu dữ liệu CallCenterEN thô sau ingest</w:t>
            </w:r>
          </w:p>
        </w:tc>
      </w:tr>
      <w:tr>
        <w:tc>
          <w:tcPr>
            <w:tcW w:type="dxa" w:w="3120"/>
          </w:tcPr>
          <w:p>
            <w:r/>
            <w:r>
              <w:rPr>
                <w:b w:val="0"/>
              </w:rPr>
              <w:t>lakehouse.silver_external.callcenteren_clean</w:t>
            </w:r>
          </w:p>
        </w:tc>
        <w:tc>
          <w:tcPr>
            <w:tcW w:type="dxa" w:w="3120"/>
          </w:tcPr>
          <w:p>
            <w:r/>
            <w:r>
              <w:rPr>
                <w:b w:val="0"/>
              </w:rPr>
              <w:t>15.000</w:t>
            </w:r>
          </w:p>
        </w:tc>
        <w:tc>
          <w:tcPr>
            <w:tcW w:type="dxa" w:w="3120"/>
          </w:tcPr>
          <w:p>
            <w:r/>
            <w:r>
              <w:rPr>
                <w:b w:val="0"/>
              </w:rPr>
              <w:t>Chuẩn hóa transcript, duration, PII metadata và confidence</w:t>
            </w:r>
          </w:p>
        </w:tc>
      </w:tr>
      <w:tr>
        <w:tc>
          <w:tcPr>
            <w:tcW w:type="dxa" w:w="3120"/>
          </w:tcPr>
          <w:p>
            <w:r/>
            <w:r>
              <w:rPr>
                <w:b w:val="0"/>
              </w:rPr>
              <w:t>lakehouse.silver_external.callcenteren_labeled</w:t>
            </w:r>
          </w:p>
        </w:tc>
        <w:tc>
          <w:tcPr>
            <w:tcW w:type="dxa" w:w="3120"/>
          </w:tcPr>
          <w:p>
            <w:r/>
            <w:r>
              <w:rPr>
                <w:b w:val="0"/>
              </w:rPr>
              <w:t>15.000</w:t>
            </w:r>
          </w:p>
        </w:tc>
        <w:tc>
          <w:tcPr>
            <w:tcW w:type="dxa" w:w="3120"/>
          </w:tcPr>
          <w:p>
            <w:r/>
            <w:r>
              <w:rPr>
                <w:b w:val="0"/>
              </w:rPr>
              <w:t>Tách model_call_code thành mảng call_code phục vụ phân tích</w:t>
            </w:r>
          </w:p>
        </w:tc>
      </w:tr>
      <w:tr>
        <w:tc>
          <w:tcPr>
            <w:tcW w:type="dxa" w:w="3120"/>
          </w:tcPr>
          <w:p>
            <w:r/>
            <w:r>
              <w:rPr>
                <w:b w:val="0"/>
              </w:rPr>
              <w:t>lakehouse.gold_external.callcenteren_call_analytics</w:t>
            </w:r>
          </w:p>
        </w:tc>
        <w:tc>
          <w:tcPr>
            <w:tcW w:type="dxa" w:w="3120"/>
          </w:tcPr>
          <w:p>
            <w:r/>
            <w:r>
              <w:rPr>
                <w:b w:val="0"/>
              </w:rPr>
              <w:t>8</w:t>
            </w:r>
          </w:p>
        </w:tc>
        <w:tc>
          <w:tcPr>
            <w:tcW w:type="dxa" w:w="3120"/>
          </w:tcPr>
          <w:p>
            <w:r/>
            <w:r>
              <w:rPr>
                <w:b w:val="0"/>
              </w:rPr>
              <w:t>Tổng hợp theo source_domain và call_direction</w:t>
            </w:r>
          </w:p>
        </w:tc>
      </w:tr>
      <w:tr>
        <w:tc>
          <w:tcPr>
            <w:tcW w:type="dxa" w:w="3120"/>
          </w:tcPr>
          <w:p>
            <w:r/>
            <w:r>
              <w:rPr>
                <w:b w:val="0"/>
              </w:rPr>
              <w:t>lakehouse.gold.dataset_profile_comparison</w:t>
            </w:r>
          </w:p>
        </w:tc>
        <w:tc>
          <w:tcPr>
            <w:tcW w:type="dxa" w:w="3120"/>
          </w:tcPr>
          <w:p>
            <w:r/>
            <w:r>
              <w:rPr>
                <w:b w:val="0"/>
              </w:rPr>
              <w:t>2</w:t>
            </w:r>
          </w:p>
        </w:tc>
        <w:tc>
          <w:tcPr>
            <w:tcW w:type="dxa" w:w="3120"/>
          </w:tcPr>
          <w:p>
            <w:r/>
            <w:r>
              <w:rPr>
                <w:b w:val="0"/>
              </w:rPr>
              <w:t>So sánh profile dataset chính và CallCenterEN</w:t>
            </w:r>
          </w:p>
        </w:tc>
      </w:tr>
      <w:tr>
        <w:tc>
          <w:tcPr>
            <w:tcW w:type="dxa" w:w="3120"/>
          </w:tcPr>
          <w:p>
            <w:r/>
            <w:r>
              <w:rPr>
                <w:b w:val="0"/>
              </w:rPr>
              <w:t>lakehouse.gold.call_code_distribution_comparison</w:t>
            </w:r>
          </w:p>
        </w:tc>
        <w:tc>
          <w:tcPr>
            <w:tcW w:type="dxa" w:w="3120"/>
          </w:tcPr>
          <w:p>
            <w:r/>
            <w:r>
              <w:rPr>
                <w:b w:val="0"/>
              </w:rPr>
              <w:t>59</w:t>
            </w:r>
          </w:p>
        </w:tc>
        <w:tc>
          <w:tcPr>
            <w:tcW w:type="dxa" w:w="3120"/>
          </w:tcPr>
          <w:p>
            <w:r/>
            <w:r>
              <w:rPr>
                <w:b w:val="0"/>
              </w:rPr>
              <w:t>So sánh phân bố call_code giữa hai nguồn</w:t>
            </w:r>
          </w:p>
        </w:tc>
      </w:tr>
      <w:tr>
        <w:tc>
          <w:tcPr>
            <w:tcW w:type="dxa" w:w="3120"/>
          </w:tcPr>
          <w:p>
            <w:r/>
            <w:r>
              <w:rPr>
                <w:b w:val="0"/>
              </w:rPr>
              <w:t>lakehouse.gold.model_experiment_comparison</w:t>
            </w:r>
          </w:p>
        </w:tc>
        <w:tc>
          <w:tcPr>
            <w:tcW w:type="dxa" w:w="3120"/>
          </w:tcPr>
          <w:p>
            <w:r/>
            <w:r>
              <w:rPr>
                <w:b w:val="0"/>
              </w:rPr>
              <w:t>6</w:t>
            </w:r>
          </w:p>
        </w:tc>
        <w:tc>
          <w:tcPr>
            <w:tcW w:type="dxa" w:w="3120"/>
          </w:tcPr>
          <w:p>
            <w:r/>
            <w:r>
              <w:rPr>
                <w:b w:val="0"/>
              </w:rPr>
              <w:t>Lưu metrics huấn luyện và tinh chỉnh model CallCenterEN</w:t>
            </w:r>
          </w:p>
        </w:tc>
      </w:tr>
    </w:tbl>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t>Bronze đóng vai trò append log của CDC nên có thể tăng số bản ghi khi reset checkpoint hoặc replay Kafka từ earliest. Đây không phải lỗi nếu Bronze được xem là vùng raw/audit. Ngược lại, Silver và Gold phải duy trì tính ổn định nhờ deduplicate và MERGE INTO theo khóa tự nhiên, qua đó bảo đảm bảng sạch không bị nhân đôi khi pipeline chạy lại.</w:t>
      </w:r>
    </w:p>
    <w:p>
      <w:pPr>
        <w:pStyle w:val="Heading3"/>
        <w:keepNext/>
      </w:pPr>
      <w:r>
        <w:rPr>
          <w:rFonts w:ascii="Times New Roman" w:hAnsi="Times New Roman" w:eastAsia="Times New Roman"/>
        </w:rPr>
        <w:t>4.6.2. Các lỗi thực nghiệm đã ghi nhận</w:t>
      </w:r>
    </w:p>
    <w:p>
      <w:pPr/>
      <w:r>
        <w:t>Trong quá trình rebuild pipeline, một nhóm lỗi vận hành liên quan đến dependency đã được ghi nhận, bao gồm thiếu hoặc chưa đồng bộ các thư viện scikit-learn, joblib, PyTorch và Transformers trong môi trường Spark/Airflow. Các lỗi này không làm thay đổi thiết kế kiến trúc, nhưng cho thấy pipeline NLP phụ thuộc mạnh vào việc đóng gói artifact và môi trường runtime. Sau khi chuẩn hóa dependency và ưu tiên BoW cho production path, pipeline Silver có thể chạy ổn định hơn trong môi trường CPU-only.</w:t>
      </w:r>
    </w:p>
    <w:p>
      <w:pPr/>
      <w:r>
        <w:t>Ngoài lỗi runtime, dữ liệu cũng có lỗi chất lượng như full_date null do timestamp parse lỗi. Thay vì loại bỏ âm thầm, báo cáo ghi nhận các lỗi này như một phần giới hạn thực nghiệm của dữ liệu synthetic và pipeline local. Đối với nhánh CallCenterEN, quá trình chạy Spark ETL cũng phát sinh lỗi môi trường Ivy cache và lỗi aggregation khi tạo profile comparison; các lỗi này đã được xử lý trước khi bảng Bronze/Silver/Gold CallCenterEN được ghi thành công.</w:t>
      </w:r>
    </w:p>
    <w:p>
      <w:pPr>
        <w:pStyle w:val="Heading3"/>
      </w:pPr>
      <w:r>
        <w:t>4.6.3. Kiểm thử luồng Airflow tách stage theo dataset</w:t>
      </w:r>
    </w:p>
    <w:p>
      <w:pPr/>
      <w:r>
        <w:t>Sau khi chỉnh sửa DAG Airflow từ chuỗi tác vụ tổng quát sang mô hình chia theo dataset và stage, hệ thống được kiểm thử lại trên toàn bộ stack Docker Compose. Mục tiêu của lần kiểm thử là xác nhận DAG mới vẫn đảm bảo luồng end-to-end từ MongoDB, Debezium, Kafka, Bronze, Silver, Gold, CallCenterEN, BigQuery đến dashboard, đồng thời làm rõ giá trị vận hành của việc tách task theo từng dataset.</w:t>
      </w:r>
    </w:p>
    <w:p>
      <w:pPr/>
      <w:r>
        <w:t>Trước khi chạy pipeline, các file Python chính của DAG và các Spark job được kiểm tra cú pháp bằng py_compile. Kết quả kiểm tra cú pháp thành công cho các file telesales_pipeline.py, bronze_job.py, silver_job.py, gold_job.py, callcenteren_external_job.py và bq_sync_job.py. Ở bước khởi động hạ tầng, Kafka ban đầu báo lỗi do Zookeeper vẫn còn ephemeral node /brokers/ids/1 của phiên cũ; sau khi session cũ hết hạn, việc khởi động lại Kafka, Debezium Connect và Debezium init hoàn tất mà không cần xóa volume dữ liệu. Sự cố này được ghi nhận là vấn đề trạng thái runtime khi restart stack, không phải lỗi logic của DAG mới.</w:t>
      </w:r>
    </w:p>
    <w:p>
      <w:pPr/>
      <w:r>
        <w:t>Lần chạy thủ công được thực hiện với run id manual_stage_test_20260620_200514. Airflow ghi nhận DAG telesales_lakehouse_pipeline bắt đầu lúc 2026-06-20T13:05:16+00:00 và kết thúc lúc 2026-06-20T13:10:40.473161+00:00, tổng thời gian khoảng 5 phút 24 giây. Toàn bộ các task trong DAG đều đạt trạng thái success, bao gồm wait_for_debezium_connector, ba cặp Bronze/Silver cho cust, offer và call_logs, bốn task Gold dim_customer, dim_offer, dim_date và fact_telesales_calls, ba stage CallCenterEN bronze/silver/gold, và task bq_sync_gold.</w:t>
      </w:r>
    </w:p>
    <w:p>
      <w:pPr/>
      <w:r>
        <w:t>Kết quả kiểm tra số dòng trong Lakehouse cho thấy tầng Bronze có số bản ghi cao hơn số thực thể nghiệp vụ do đây là tầng append-only lưu sự kiện CDC và snapshot thô: bronze.cust có 17.376 dòng, bronze.offer có 20.288 dòng và bronze.call_logs có 92.868 dòng. Sau bước Silver, dữ liệu được parse, chuẩn hóa và deduplicate về đúng số lượng thực thể nghiệp vụ: silver.cust có 4.344 dòng, silver.offer có 5.072 dòng và silver.call_logs có 23.447 dòng. Tầng Gold tiếp tục giữ nhất quán với số liệu Silver: dim_customer có 4.344 dòng, dim_offer có 5.072 dòng, dim_date có 2 dòng và fact_telesales_calls có 23.447 dòng.</w:t>
      </w:r>
    </w:p>
    <w:p>
      <w:pPr/>
      <w:r>
        <w:t>Nhánh CallCenterEN sau khi tách stage cũng chạy thành công. Các bảng bronze_external.callcenteren_raw, silver_external.callcenteren_clean và silver_external.callcenteren_labeled đều có 15.000 dòng. Các bảng tổng hợp và so sánh được tạo ở tầng Gold gồm gold_external.callcenteren_call_analytics với 8 dòng, gold.dataset_profile_comparison với 2 dòng, gold.call_code_distribution_comparison với 59 dòng và gold.model_experiment_comparison với 6 dòng. Kết quả này xác nhận CallCenterEN không còn là một khối xử lý đơn lẻ trong DAG, mà đã được kiểm thử như một nhánh dataset riêng có Bronze, Silver và Gold rõ ràng.</w:t>
      </w:r>
    </w:p>
    <w:p>
      <w:pPr/>
      <w:r>
        <w:t>Sau khi bq_sync_gold hoàn tất, BigQuery được kiểm tra lại bằng truy vấn COUNT trên các bảng phục vụ. Các bảng dim_customer, dim_offer, dim_date và fact_telesales_calls lần lượt có 4.344, 5.072, 2 và 23.447 dòng, trùng với kết quả Lakehouse. Các bảng so sánh CallCenterEN trên BigQuery cũng khớp với Lakehouse: dataset_profile_comparison có 2 dòng, call_code_distribution_comparison có 59 dòng, model_experiment_comparison có 6 dòng và callcenteren_call_analytics có 8 dòng. Serving view vw_telesales_performance được tạo lại từ file create_serving_views.sql và trả về 23.447 dòng.</w:t>
      </w:r>
    </w:p>
    <w:p>
      <w:pPr/>
      <w:r>
        <w:t>Bước xuất dữ liệu cho dashboard tĩnh cũng được chạy lại bằng profile dashboard-export. Lệnh export hoàn tất thành công và tạo file project/dashboard/dashboard_data.json, kích thước 4.213 bytes. File JSON có các nhóm dữ liệu chính gồm kpis, charts, tables và generated_at; trong đó có 8 nhóm KPI, 6 nhóm biểu đồ và 2 nhóm bảng. Điều này cho thấy lớp trình bày local vẫn tiêu thụ được dữ liệu Gold sau khi DAG được tách stage.</w:t>
      </w:r>
    </w:p>
    <w:p>
      <w:pPr/>
      <w:r>
        <w:t>Từ kết quả trên, việc tách DAG theo dataset và stage không làm thay đổi kết quả dữ liệu cuối cùng nhưng cải thiện đáng kể khả năng quan sát vận hành. Khi pipeline chạy, Airflow hiển thị riêng từng bước bronze/silver của cust, offer, call_logs và từng bước của CallCenterEN, nhờ đó có thể xác định chính xác stage đang chạy, stage đã thành công và stage sẽ bị ảnh hưởng nếu một dataset lỗi. Giới hạn còn lại là dim_date chỉ có 2 dòng do phân bố timestamp trong dữ liệu sinh, đây là vấn đề chất lượng dữ liệu nguồn đã được ghi nhận từ trước và không phát sinh từ thay đổi orchestration.</w:t>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t>5.2.4. Đóng góp từ nhánh CallCenterEN trong kiến trúc multi-source</w:t>
      </w:r>
    </w:p>
    <w:p>
      <w:pPr/>
      <w:r>
        <w:t>Việc đưa CallCenterEN vào nghiên cứu tạo ra đóng góp mới về thiết kế multi-source Lakehouse. Thay vì chỉ có một dataset tổng hợp nội bộ, đồ án có thêm một nhánh dữ liệu call-center độc lập với candidate dataset 15.000 dòng, split pseudo-label riêng, model call_code riêng và các bảng Bronze/Silver/Gold riêng. Điều này giúp kiến trúc thể hiện khả năng mở rộng sang nguồn dữ liệu ngoài mà không phá vỡ pipeline chính.</w:t>
      </w:r>
    </w:p>
    <w:p>
      <w:pPr/>
      <w:r>
        <w:t>Đóng góp thứ hai là bằng chứng thực nghiệm về domain shift. Model của dataset chính đánh sang CallCenterEN cho micro-F1 0,3970, trong khi model riêng CallCenterEN sau huấn luyện và tinh chỉnh đạt micro-F1 test 0,7241. Kết quả này củng cố quyết định tách hai model theo nguồn dữ liệu, đồng thời cung cấp cơ sở định lượng để báo cáo không chỉ mô tả kiến trúc mà còn đánh giá được tác động của khác biệt miền dữ liệu.</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pPr/>
            <w:r>
              <w:t>BoW là mô hình production hiện tại; RoBERTa chỉ là baseline học sâu và hướng nâng cấp khi có model serving/GPU.</w:t>
            </w:r>
          </w:p>
        </w:tc>
        <w:tc>
          <w:tcPr>
            <w:tcW w:type="dxa" w:w="3025"/>
            <w:tcMar>
              <w:top w:w="80" w:type="dxa"/>
              <w:start w:w="120" w:type="dxa"/>
              <w:bottom w:w="80" w:type="dxa"/>
              <w:end w:w="120" w:type="dxa"/>
            </w:tcMar>
            <w:vAlign w:val="center"/>
          </w:tcPr>
          <w:p>
            <w:pPr/>
            <w:r>
              <w:t>Tối ưu BoW theo threshold/label, thử model serving cho RoBERTa hoặc transformer nhỏ hơn trong hướng phát triển.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pPr/>
      <w:r>
        <w:t>CallCenterEN là dữ liệu tiếng Anh và đa miền, trong đó nhiều domain như medicare, automotive hoặc home_service_telecom không trùng hoàn toàn với bối cảnh AGI Telesales tài chính. Vì vậy, kết quả so sánh cần được hiểu như đánh giá domain shift và khả năng mở rộng kiến trúc, không phải bằng chứng rằng hai nguồn dữ liệu có thể thay thế trực tiếp cho nhau.</w:t>
      </w:r>
    </w:p>
    <w:p>
      <w:pPr/>
      <w:r>
        <w:t>Pseudo-label được chấp nhận để triển khai pilot và huấn luyện model riêng, nhưng vẫn có nguy cơ nhiễu, đặc biệt với các nhãn outcome hoặc thái độ khách hàng khi transcript không biểu hiện rõ. Do đó, các kết quả như micro-F1 0,7241 trên CallCenterEN test set nên được xem là kết quả trên weak labels có kiểm soát, chưa tương đương ground truth do annotator độc lập đánh giá.</w:t>
      </w:r>
    </w:p>
    <w:p>
      <w:pPr/>
      <w:r>
        <w:t>Về hạ tầng serving, nhánh CallCenterEN đã được ghi vào Iceberg/MinIO và tạo bảng Gold so sánh, nhưng BigQuery sync cho các bảng so sánh mới chỉ được bổ sung ở mức optional code path, chưa chạy xác thực đầy đủ trên môi trường cloud. Đây là giới hạn vận hành cần ghi nhận nếu mở rộng báo cáo sang phần BI ngoài lakehouse local.</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BoW + Logistic Regression ở Silver, xây dựng Star Schema ở Gold và phục vụ dashboard qua BigQuery/Superset. Sau phần mở rộng CallCenterEN, kiến trúc được nâng từ pipeline đơn nguồn thành multi-source Lakehouse: dataset AGI Telesales và CallCenterEN được tổ chức thành hai nhánh dữ liệu chính để so sánh, trong đó CallCenterEN có model call_code riêng và đã được ghi vào Bronze/Silver/Gold.</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t>[1] Google Developers Blog, "Introducing Gemma 3: The Developer Guide," https://developers.googleblog.com/en/introducing-gemma3/</w:t>
      </w:r>
    </w:p>
    <w:p>
      <w:pPr>
        <w:spacing w:line="324" w:lineRule="auto" w:after="120"/>
        <w:ind w:firstLine="432"/>
        <w:jc w:val="both"/>
      </w:pPr>
      <w:r>
        <w:t>[2] Google AI for Developers, "Gemma documentation," https://ai.google.dev/gemma/docs</w:t>
      </w:r>
    </w:p>
    <w:p>
      <w:pPr>
        <w:spacing w:line="324" w:lineRule="auto" w:after="120"/>
        <w:ind w:firstLine="432"/>
        <w:jc w:val="both"/>
      </w:pPr>
      <w:r>
        <w:t>[3] Google Cloud, "Gemini 2.5 Flash model documentation," https://cloud.google.com/vertex-ai/generative-ai/docs/models/gemini/2-5-flash</w:t>
      </w:r>
    </w:p>
    <w:p>
      <w:pPr>
        <w:spacing w:line="324" w:lineRule="auto" w:after="120"/>
        <w:ind w:firstLine="432"/>
        <w:jc w:val="both"/>
      </w:pPr>
      <w:r>
        <w:t>[4] Debezium Documentation, "MongoDB connector," https://debezium.io/documentation/reference/stable/connectors/mongodb.html</w:t>
      </w:r>
    </w:p>
    <w:p>
      <w:pPr>
        <w:spacing w:line="324" w:lineRule="auto" w:after="120"/>
        <w:ind w:firstLine="432"/>
        <w:jc w:val="both"/>
      </w:pPr>
      <w:r>
        <w:t>[5] Apache Kafka Documentation, https://kafka.apache.org/documentation/</w:t>
      </w:r>
    </w:p>
    <w:p>
      <w:pPr>
        <w:spacing w:line="324" w:lineRule="auto" w:after="120"/>
        <w:ind w:firstLine="432"/>
        <w:jc w:val="both"/>
      </w:pPr>
      <w:r>
        <w:t>[6] Apache Spark Documentation, "Structured Streaming Programming Guide," https://spark.apache.org/docs/latest/structured-streaming-programming-guide.html</w:t>
      </w:r>
    </w:p>
    <w:p>
      <w:pPr>
        <w:spacing w:line="324" w:lineRule="auto" w:after="120"/>
        <w:ind w:firstLine="432"/>
        <w:jc w:val="both"/>
      </w:pPr>
      <w:r>
        <w:t>[7] Apache Iceberg Documentation, https://iceberg.apache.org/docs/latest/</w:t>
      </w:r>
    </w:p>
    <w:p>
      <w:pPr>
        <w:spacing w:line="324" w:lineRule="auto" w:after="120"/>
        <w:ind w:firstLine="432"/>
        <w:jc w:val="both"/>
      </w:pPr>
      <w:r>
        <w:t>[8] Apache Airflow Documentation, "DAGs and task dependencies," https://airflow.apache.org/docs/apache-airflow/stable/core-concepts/dags.html</w:t>
      </w:r>
    </w:p>
    <w:p>
      <w:pPr>
        <w:spacing w:line="324" w:lineRule="auto" w:after="120"/>
        <w:ind w:firstLine="432"/>
        <w:jc w:val="both"/>
      </w:pPr>
      <w:r>
        <w:t>[9] MinIO Documentation, "Object storage for S3-compatible workloads," https://min.io/docs/minio/container/index.html</w:t>
      </w:r>
    </w:p>
    <w:p>
      <w:pPr>
        <w:spacing w:line="324" w:lineRule="auto" w:after="120"/>
        <w:ind w:firstLine="432"/>
        <w:jc w:val="both"/>
      </w:pPr>
      <w:r>
        <w:t>[10] Apache Superset Documentation, https://superset.apache.org/docs/intro</w:t>
      </w:r>
    </w:p>
    <w:p>
      <w:pPr>
        <w:spacing w:line="324" w:lineRule="auto" w:after="120"/>
        <w:ind w:firstLine="432"/>
        <w:jc w:val="both"/>
      </w:pPr>
      <w:r>
        <w:t>[11] M. Armbrust, A. Ghodsi, R. Xin, and M. Zaharia, "Lakehouse: A New Generation of Open Platforms that Unify Data Warehousing and Advanced Analytics," CIDR, 2021. https://www.vldb.org/cidrdb/papers/2021/cidr2021_paper17.pdf</w:t>
      </w:r>
    </w:p>
    <w:p>
      <w:pPr>
        <w:spacing w:line="324" w:lineRule="auto" w:after="120"/>
        <w:ind w:firstLine="432"/>
        <w:jc w:val="both"/>
      </w:pPr>
      <w:r>
        <w:t>[12] scikit-learn Documentation, https://scikit-learn.org/stable/</w:t>
      </w:r>
    </w:p>
    <w:p>
      <w:pPr/>
      <w:r>
        <w:t>[13] scikit-learn Documentation, "CountVectorizer," https://scikit-learn.org/stable/modules/generated/sklearn.feature_extraction.text.CountVectorizer.html</w:t>
      </w:r>
    </w:p>
    <w:p>
      <w:pPr/>
      <w:r>
        <w:t>[14] scikit-learn Documentation, "LogisticRegression," https://scikit-learn.org/stable/modules/generated/sklearn.linear_model.LogisticRegression.html</w:t>
      </w:r>
    </w:p>
    <w:p>
      <w:pPr/>
      <w:r>
        <w:t>[15] scikit-learn Documentation, "OneVsRestClassifier," https://scikit-learn.org/stable/modules/generated/sklearn.multiclass.OneVsRestClassifier.html</w:t>
      </w:r>
    </w:p>
    <w:p>
      <w:pPr/>
      <w:r>
        <w:t>[16] scikit-learn Documentation, "MultiLabelBinarizer," https://scikit-learn.org/stable/modules/generated/sklearn.preprocessing.MultiLabelBinarizer.html</w:t>
      </w:r>
    </w:p>
    <w:p>
      <w:pPr/>
      <w:r>
        <w:t>[17] Y. Liu et al., "RoBERTa: A Robustly Optimized BERT Pretraining Approach," arXiv:1907.11692, 2019. https://arxiv.org/abs/1907.11692</w:t>
      </w:r>
    </w:p>
    <w:p>
      <w:pPr/>
      <w:r>
        <w:t>[18] Hugging Face, "FacebookAI/roberta-base model card," https://huggingface.co/FacebookAI/roberta-base</w:t>
      </w:r>
    </w:p>
    <w:p>
      <w:pPr/>
      <w:r>
        <w:t>[19] Hugging Face Transformers, "Text classification task guide," https://huggingface.co/docs/transformers/tasks/sequence_classification</w:t>
      </w:r>
    </w:p>
    <w:p>
      <w:pPr/>
      <w:r>
        <w:t>[20] PyTorch Documentation, "BCEWithLogitsLoss," https://docs.pytorch.org/docs/stable/generated/torch.nn.BCEWithLogitsLoss.html</w:t>
      </w:r>
    </w:p>
    <w:p>
      <w:pPr/>
      <w:r>
        <w:t>[21] A. Vaswani et al., "Attention Is All You Need," arXiv:1706.03762, 2017. https://arxiv.org/abs/1706.03762</w:t>
      </w:r>
    </w:p>
    <w:p>
      <w:pPr/>
      <w:r>
        <w:t>[22] J. Devlin et al., "BERT: Pre-training of Deep Bidirectional Transformers for Language Understanding," arXiv:1810.04805, 2018. https://arxiv.org/abs/1810.04805</w:t>
      </w:r>
    </w:p>
    <w:p>
      <w:pPr/>
      <w:r>
        <w:t>[23] Hugging Face Transformers, "Trainer documentation," https://huggingface.co/docs/transformers/main_classes/trainer</w:t>
      </w:r>
    </w:p>
    <w:p>
      <w:pPr/>
      <w:r>
        <w:t>[24] Hugging Face Datasets, "Use with Pandas," https://huggingface.co/docs/datasets/use_with_pandas</w:t>
      </w:r>
    </w:p>
    <w:p>
      <w:pPr/>
      <w:r>
        <w:t>[25] H. Dao, G. Chawla, R. Banda, and C. DeLeeuw, "Real-World En Call Center Transcripts Dataset with PII Redaction," arXiv:2507.02958, 2025. https://arxiv.org/abs/2507.02958</w:t>
      </w:r>
    </w:p>
    <w:p>
      <w:pPr/>
      <w:r>
        <w:t>[26] AIxBlock, "92k Real-World Call Center Scripts English," Hugging Face Dataset. https://huggingface.co/datasets/AIxBlock/92k-real-world-call-center-scripts-english</w:t>
      </w:r>
    </w:p>
    <w:p>
      <w:pPr/>
      <w:r>
        <w:t>[27] S. Gururangan et al., "Don't Stop Pretraining: Adapt Language Models to Domains and Tasks," ACL, 2020. https://aclanthology.org/2020.acl-main.740/</w:t>
      </w:r>
    </w:p>
    <w:p>
      <w:pPr/>
      <w:r>
        <w:t>[28] A. Ratner, C. De Sa, S. Wu, D. Selsam, and C. Ré, "Data Programming: Creating Large Training Sets, Quickly," NeurIPS, 2016. https://papers.neurips.cc/paper/6523-data-programming-creating-large-training-sets-quickly</w:t>
      </w:r>
    </w:p>
    <w:p>
      <w:pPr/>
      <w:r>
        <w:t>[29] M.-R. Amini et al., "Self-Training: A Survey," arXiv:2202.12040, 2022. https://arxiv.org/abs/2202.12040</w:t>
      </w:r>
    </w:p>
    <w:p/>
    <w:p/>
    <w:p/>
    <w:p/>
    <w:p/>
    <w:p>
      <w:pPr>
        <w:keepNext/>
      </w:pPr>
      <w:r>
        <w:t>[30] MongoDB Documentation, "Change Streams," https://www.mongodb.com/docs/manual/changestreams/</w:t>
      </w:r>
    </w:p>
    <w:p>
      <w:pPr>
        <w:keepNext/>
      </w:pPr>
      <w:r>
        <w:t>[31] Google Cloud Documentation, "BigQuery overview," https://docs.cloud.google.com/bigquery/docs/introduction</w:t>
      </w:r>
    </w:p>
    <w:p>
      <w:pPr>
        <w:keepNext/>
      </w:pPr>
      <w:r>
        <w:t>[32] Looker Studio Help, "Tutorial: Create a new report," https://support.google.com/looker-studio/answer/06292570</w:t>
      </w:r>
    </w:p>
    <w:p>
      <w:pPr>
        <w:keepNext/>
      </w:pPr>
      <w:r>
        <w:t>[33] Docker Documentation, "Docker Compose," https://docs.docker.com/compose/</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t>Phụ lục B hệ thống hóa các nhóm sơ đồ và hình minh họa gắn với phần thuyết minh chính: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t>Notebook generate_data.ipynb hiện có cấu hình API key cục bộ, đây là rủi ro bảo mật ở mức artifact phát triển. Phương án xử lý cho phiên bản công bố gồm loại bỏ khóa khỏi notebook, rotate khóa nếu từng chia sẻ và chuyển cấu hình sang biến môi trường hoặc secret manager.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pPr/>
            <w:r>
              <w:t>NLP_MODEL_TYPE mặc định là bow; RoBERTa chỉ bật bằng NLP_MODEL_TYPE=roberta cho thí nghiệm so sánh.</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pPr/>
            <w:r>
              <w:t>Airflow truyền NLP_MODEL_TYPE=bow; Dockerfile vẫn giữ dependency RoBERTa để phục vụ thí nghiệm so sánh khi cần.</w:t>
            </w:r>
          </w:p>
        </w:tc>
      </w:tr>
    </w:tbl>
    <w:p>
      <w:pPr>
        <w:pStyle w:val="Heading3"/>
      </w:pPr>
      <w:r>
        <w:t>Nhận xét đối chiếu</w:t>
      </w:r>
    </w:p>
    <w:p>
      <w:pPr/>
      <w:r>
        <w:t>Các artifact chính đều đã có vị trí thuyết minh tương ứng trong báo cáo. Phần dữ liệu bám vào generate_data.ipynb và các CSV nguồn; phần NLP bám vào NLP_model.ipynb, trong đó BoW + Logistic Regression là mô hình production và RoBERTa là baseline học sâu; phần pipeline bám vào các job Bronze/Silver/Gold, DAG Airflow và Dockerfile.</w:t>
      </w:r>
    </w:p>
    <w:p>
      <w:r>
        <w:t>Các vị trí minh họa trong thân bài được chuẩn bị dưới dạng placeholder trung tính cho sơ đồ kiến trúc, screenshot vận hành, dashboard và kết quả truy vấn kiểm chứng. Nhóm placeholder này xác định loại bằng chứng hình ảnh tương ứng với từng phần thuyết minh và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