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pPr>
        <w:jc w:val="center"/>
      </w:pPr>
      <w:r>
        <w:rPr>
          <w:b/>
        </w:rPr>
        <w:t>LỜI CAM ĐOAN</w:t>
      </w:r>
    </w:p>
    <w:p>
      <w:pPr>
        <w:jc w:val="both"/>
      </w:pPr>
      <w:r>
        <w:rPr>
          <w:b w:val="0"/>
        </w:rPr>
        <w:t>Tôi cam đoan khóa luận tốt nghiệp với đề tài “Xây dựng nền tảng dữ liệu Hybrid Data Lakehouse cho hệ thống AGI Telesales” là kết quả nghiên cứu, thiết kế, triển khai và tổng hợp của cá nhân tôi dưới sự hướng dẫn của giảng viên hướng dẫn. Các nội dung lý thuyết, công nghệ và công trình liên quan được trích dẫn trong phần tài liệu tham khảo; các số liệu thực nghiệm, kết quả kiểm thử và nhận xét trong báo cáo được trình bày dựa trên mã nguồn, notebook, log, dữ liệu và artifact trong workspace của đề tài.</w:t>
      </w:r>
    </w:p>
    <w:p>
      <w:pPr>
        <w:jc w:val="both"/>
      </w:pPr>
      <w:r>
        <w:rPr>
          <w:b w:val="0"/>
        </w:rPr>
        <w:t>Tôi chịu trách nhiệm về tính trung thực của nội dung báo cáo. Các dữ liệu tổng hợp dùng cho nhánh AGI Telesales không được diễn giải như dữ liệu kinh doanh thật; nhánh CallCenterEN được sử dụng theo phạm vi dataset công khai và được trình bày với ranh giới rõ ràng về pseudo-label, domain shift và giới hạn thực nghiệm.</w:t>
      </w:r>
    </w:p>
    <w:p>
      <w:pPr>
        <w:jc w:val="right"/>
      </w:pPr>
      <w:r>
        <w:rPr>
          <w:b w:val="0"/>
        </w:rPr>
        <w:t>Tp. Hồ Chí Minh, tháng 6 năm 2026</w:t>
      </w:r>
    </w:p>
    <w:p>
      <w:pPr>
        <w:jc w:val="right"/>
      </w:pPr>
      <w:r>
        <w:rPr>
          <w:b w:val="0"/>
        </w:rPr>
        <w:t>Sinh viên thực hiện</w:t>
      </w:r>
    </w:p>
    <w:p>
      <w:pPr>
        <w:jc w:val="right"/>
      </w:pPr>
      <w:r>
        <w:rPr>
          <w:b/>
        </w:rPr>
        <w:t>Nguyễn Quốc Thịnh</w:t>
      </w:r>
    </w:p>
    <w:p>
      <w:pPr/>
      <w:r>
        <w:br w:type="page"/>
      </w:r>
    </w:p>
    <w:p>
      <w:pPr>
        <w:jc w:val="center"/>
      </w:pPr>
      <w:r>
        <w:rPr>
          <w:b/>
        </w:rPr>
        <w:t>TÓM TẮT</w:t>
      </w:r>
    </w:p>
    <w:p>
      <w:pPr>
        <w:jc w:val="both"/>
      </w:pPr>
      <w:r>
        <w:rPr>
          <w:b w:val="0"/>
        </w:rPr>
        <w:t>Khóa luận xây dựng một prototype Hybrid Data Lakehouse cho hệ thống AGI Telesales nhằm giải quyết nhu cầu tách tải phân tích khỏi cơ sở dữ liệu vận hành, xử lý dữ liệu hội thoại và cung cấp lớp dữ liệu phục vụ dashboard. Hệ thống được triển khai bằng Docker Compose với các thành phần MongoDB, Debezium, Kafka, MinIO, Apache Spark, Apache Iceberg, Apache Airflow, BigQuery, Superset và dashboard tĩnh. Dữ liệu AGI Telesales được sinh tổng hợp bằng mô hình ngôn ngữ, sau đó chuẩn hóa thành các thực thể customer, offer và call_logs để mô phỏng nguồn vận hành.</w:t>
      </w:r>
    </w:p>
    <w:p>
      <w:pPr>
        <w:jc w:val="both"/>
      </w:pPr>
      <w:r>
        <w:rPr>
          <w:b w:val="0"/>
        </w:rPr>
        <w:t>Pipeline xử lý dữ liệu theo kiến trúc Medallion. Tầng Bronze lưu raw document và metadata CDC; tầng Silver chuẩn hóa schema, che giấu PII, deduplicate và tích hợp mô hình NLP; tầng Gold xây dựng Star Schema và serving view cho BI. Về NLP, khóa luận so sánh BoW + Logistic Regression với RoBERTa fine-tuned trong bối cảnh multi-label call_code. Kết quả cho thấy RoBERTa nhỉnh hơn F1 Micro trên notebook nhưng không ổn định trong full rebuild CPU-only, trong khi BoW hoàn tất 23.447 call_logs trong khoảng 40 giây và phù hợp hơn với production path của prototype.</w:t>
      </w:r>
    </w:p>
    <w:p>
      <w:pPr>
        <w:jc w:val="both"/>
      </w:pPr>
      <w:r>
        <w:rPr>
          <w:b w:val="0"/>
        </w:rPr>
        <w:t>Ngoài nhánh AGI Telesales, khóa luận tổ chức CallCenterEN như nhánh dữ liệu tương đương trong kiến trúc multi-source. Nhánh này có quy trình Bronze/Silver/Gold, mô hình call_code riêng, Star Schema riêng và các bảng so sánh domain shift. Kết quả kiểm thử ngày 26/06/2026 xác nhận pipeline chính và nhánh CallCenterEN đều chạy end-to-end, đồng bộ được sang BigQuery và phục vụ các view phân tích. Giới hạn chính của đề tài nằm ở dữ liệu synthetic, pseudo-label, môi trường Docker local và BigQuery sandbox; do đó kết quả được xem là bằng chứng kiến trúc và thực nghiệm prototype, chưa phải đánh giá production đầy đủ.</w:t>
      </w:r>
    </w:p>
    <w:p>
      <w:pPr>
        <w:jc w:val="both"/>
      </w:pPr>
      <w:r>
        <w:rPr>
          <w:b w:val="0"/>
        </w:rPr>
        <w:t>Từ khóa: Hybrid Data Lakehouse; AGI Telesales; Change Data Capture; Apache Iceberg; Medallion Architecture; NLP; CallCenterEN; BigQuery.</w:t>
      </w:r>
    </w:p>
    <w:p>
      <w:pPr/>
      <w:r>
        <w:br w:type="page"/>
      </w:r>
    </w:p>
    <w:p>
      <w:pPr>
        <w:jc w:val="center"/>
      </w:pPr>
      <w:r>
        <w:rPr>
          <w:b/>
        </w:rPr>
        <w:t>ABSTRACT</w:t>
      </w:r>
    </w:p>
    <w:p>
      <w:pPr>
        <w:jc w:val="both"/>
      </w:pPr>
      <w:r>
        <w:rPr>
          <w:b w:val="0"/>
        </w:rPr>
        <w:t>This thesis develops a Hybrid Data Lakehouse prototype for an AGI Telesales system to separate analytical workloads from the operational database, process conversational data, and provide curated serving data for dashboards. The system is deployed with Docker Compose and integrates MongoDB, Debezium, Kafka, MinIO, Apache Spark, Apache Iceberg, Apache Airflow, BigQuery, Superset, and a static dashboard. The AGI Telesales dataset is synthetically generated with a language model and normalized into customer, offer, and call_logs entities to emulate an operational source system.</w:t>
      </w:r>
    </w:p>
    <w:p>
      <w:pPr>
        <w:jc w:val="both"/>
      </w:pPr>
      <w:r>
        <w:rPr>
          <w:b w:val="0"/>
        </w:rPr>
        <w:t>The pipeline follows the Medallion Architecture. The Bronze layer stores raw documents and CDC metadata; the Silver layer parses schemas, masks PII, deduplicates records, and performs NLP inference; the Gold layer builds star schemas and serving views for business intelligence. For the NLP component, the thesis compares Bag-of-Words with Logistic Regression against a fine-tuned RoBERTa model for multi-label call_code classification. Although RoBERTa achieves slightly higher Micro-F1 in notebook evaluation, it is unstable and costly during a CPU-only full rebuild. The BoW model processes 23,447 call_logs in approximately 40 seconds and is therefore selected for the current prototype production path.</w:t>
      </w:r>
    </w:p>
    <w:p>
      <w:pPr>
        <w:jc w:val="both"/>
      </w:pPr>
      <w:r>
        <w:rPr>
          <w:b w:val="0"/>
        </w:rPr>
        <w:t>In addition to the AGI Telesales branch, CallCenterEN is organized as an equivalent data branch in the multi-source architecture. This branch has its own Bronze/Silver/Gold flow, call_code model, star schema, and comparison tables for domain-shift analysis. The verification run on June 26, 2026 confirms that both the primary pipeline and the CallCenterEN branch run end-to-end, synchronize to BigQuery, and expose analytical views. The main limitations are synthetic data, pseudo-label quality, local Docker infrastructure, and BigQuery sandbox constraints; therefore, the results should be interpreted as architectural and prototype-level evidence rather than full production validation.</w:t>
      </w:r>
    </w:p>
    <w:p>
      <w:pPr>
        <w:jc w:val="both"/>
      </w:pPr>
      <w:r>
        <w:rPr>
          <w:b w:val="0"/>
        </w:rPr>
        <w:t>Keywords: Hybrid Data Lakehouse; AGI Telesales; Change Data Capture; Apache Iceberg; Medallion Architecture; NLP; CallCenterEN; BigQuery.</w:t>
      </w:r>
    </w:p>
    <w:p>
      <w:pPr/>
      <w:r>
        <w:br w:type="page"/>
      </w: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r>
        <w:t>Hình 2.1. Quy trình sinh dữ liệu tổng hợp bằng Google Generative AI</w:t>
      </w:r>
    </w:p>
    <w:p>
      <w:pPr/>
      <w:r>
        <w:t>Hình 2.2. Schema master data của một bản ghi telesales trước chuẩn hóa</w:t>
      </w:r>
    </w:p>
    <w:p>
      <w:pPr/>
      <w:r>
        <w:t>Hình 2.3. Phân bố nhãn call_code trong bộ dữ liệu</w:t>
      </w:r>
    </w:p>
    <w:p>
      <w:pPr/>
      <w:r>
        <w:t>Hình 2.4. Luồng chuẩn hóa JSON thành customers, offers và calls</w:t>
      </w:r>
    </w:p>
    <w:p>
      <w:pPr/>
      <w:r>
        <w:t>Hình 2.5. So sánh BoW production model và RoBERTa baseline trong bài toán multi-label call_code</w:t>
      </w:r>
    </w:p>
    <w:p>
      <w:pPr/>
      <w:r>
        <w:t>Hình 2.6. Luồng BoW inference ghi call_code vào Silver</w:t>
      </w:r>
    </w:p>
    <w:p>
      <w:pPr/>
      <w:r>
        <w:t>Hình 3.1. Kiến trúc tổng thể Hybrid Data Lakehouse cho AGI Telesales</w:t>
      </w:r>
    </w:p>
    <w:p>
      <w:pPr/>
      <w:r>
        <w:t>Hình 3.2. Data lineage từ MongoDB đến BigQuery serving view</w:t>
      </w:r>
    </w:p>
    <w:p>
      <w:pPr/>
      <w:r>
        <w:t>Hình 3.3. Luồng CDC từ MongoDB qua Debezium và Kafka vào Bronze</w:t>
      </w:r>
    </w:p>
    <w:p>
      <w:pPr/>
      <w:r>
        <w:t>Hình 3.4. Sequence diagram CDC và batch ETL trong pipeline</w:t>
      </w:r>
    </w:p>
    <w:p>
      <w:pPr/>
      <w:r>
        <w:t>Hình 3.5. Medallion Architecture và trách nhiệm của từng tầng dữ liệu</w:t>
      </w:r>
    </w:p>
    <w:p>
      <w:pPr/>
      <w:r>
        <w:t>Hình 3.6. Star Schema của lớp Gold phục vụ BI</w:t>
      </w:r>
    </w:p>
    <w:p>
      <w:pPr/>
      <w:r>
        <w:t>Hình 3.7. Airflow DAG điều phối Bronze, Silver, Gold và BigQuery sync</w:t>
      </w:r>
    </w:p>
    <w:p>
      <w:pPr/>
      <w:r>
        <w:t>Hình 3.8. Kiểm thử PII masking trong bảng silver.cust</w:t>
      </w:r>
    </w:p>
    <w:p>
      <w:pPr/>
      <w:r>
        <w:t>Hình 3.9. Luồng kiểm soát PII từ nguồn đến serving layer</w:t>
      </w:r>
    </w:p>
    <w:p>
      <w:pPr/>
      <w:r>
        <w:t>Hình 4.1. Bản đồ container Docker Compose của hệ thống thực nghiệm</w:t>
      </w:r>
    </w:p>
    <w:p>
      <w:pPr/>
      <w:r>
        <w:t>Hình 4.2. Màn hình kiểm tra Debezium connector và Kafka topics</w:t>
      </w:r>
    </w:p>
    <w:p>
      <w:pPr/>
      <w:r>
        <w:t>Hình 4.3. Kiểm chứng row count giữa MongoDB, Iceberg Gold và BigQuery</w:t>
      </w:r>
    </w:p>
    <w:p>
      <w:pPr/>
      <w:r>
        <w:t>Hình 4.4. Luồng phục vụ dữ liệu từ Gold Iceberg sang BigQuery serving view</w:t>
      </w:r>
    </w:p>
    <w:p>
      <w:pPr/>
      <w:r>
        <w:t>Hình 4.5. Dashboard phân tích outcome, lead source và product performance</w:t>
      </w:r>
    </w:p>
    <w:p>
      <w:pPr/>
      <w:r>
        <w:t>Hình 4.6. Dashboard Superset/BI cho phân tích hiệu suất telesales</w:t>
      </w:r>
    </w:p>
    <w:p>
      <w:pPr/>
      <w:r>
        <w:t>Hình 5.1. Roadmap nâng cấp production cho Hybrid Lakehouse</w:t>
      </w:r>
    </w:p>
    <w:p>
      <w:pPr>
        <w:pStyle w:val="Heading1"/>
        <w:keepNext/>
      </w:pPr>
      <w:r>
        <w:rPr>
          <w:rFonts w:ascii="Times New Roman" w:hAnsi="Times New Roman" w:eastAsia="Times New Roman"/>
        </w:rPr>
        <w:t>DANH MỤC BẢNG</w:t>
      </w:r>
    </w:p>
    <w:p>
      <w:pPr/>
      <w:r>
        <w:t>Bảng 2.1. Các artifact dữ liệu chính trong đề tài</w:t>
      </w:r>
    </w:p>
    <w:p>
      <w:pPr/>
      <w:r>
        <w:t>Bảng 2.2. Tham số chính trong generate_data.ipynb</w:t>
      </w:r>
    </w:p>
    <w:p>
      <w:pPr/>
      <w:r>
        <w:t>Bảng 2.3. Nhóm trường trong schema master data sinh tổng hợp</w:t>
      </w:r>
    </w:p>
    <w:p>
      <w:pPr/>
      <w:r>
        <w:t>Bảng 2.4. Data dictionary rút gọn cho customers.csv</w:t>
      </w:r>
    </w:p>
    <w:p>
      <w:pPr/>
      <w:r>
        <w:t>Bảng 2.5. Data dictionary rút gọn cho offers.csv</w:t>
      </w:r>
    </w:p>
    <w:p>
      <w:pPr/>
      <w:r>
        <w:t>Bảng 2.6. Data dictionary rút gọn cho calls.csv</w:t>
      </w:r>
    </w:p>
    <w:p>
      <w:pPr/>
      <w:r>
        <w:t>Bảng 2.7. Taxonomy call_code trong prompt sinh dữ liệu</w:t>
      </w:r>
    </w:p>
    <w:p>
      <w:pPr/>
      <w:r>
        <w:t>Bảng 2.8. Một số tính chất thống kê của dữ liệu sau chuẩn hóa</w:t>
      </w:r>
    </w:p>
    <w:p>
      <w:pPr/>
      <w:r>
        <w:t>Bảng 2.9. Kết quả chuẩn bị split CallCenterEN sau pseudo-label</w:t>
      </w:r>
    </w:p>
    <w:p>
      <w:pPr/>
      <w:r>
        <w:t>Bảng 2.10. Đề xuất rule kiểm soát chất lượng dữ liệu sau generation</w:t>
      </w:r>
    </w:p>
    <w:p>
      <w:pPr/>
      <w:r>
        <w:t>Bảng 3.1. Thành phần công nghệ trong kiến trúc đề tài</w:t>
      </w:r>
    </w:p>
    <w:p>
      <w:pPr/>
      <w:r>
        <w:t>Bảng 3.2. Các quyết định kiến trúc chính và lý do lựa chọn</w:t>
      </w:r>
    </w:p>
    <w:p>
      <w:pPr/>
      <w:r>
        <w:t>Bảng 3.3. Trách nhiệm của từng tầng Medallion</w:t>
      </w:r>
    </w:p>
    <w:p>
      <w:pPr/>
      <w:r>
        <w:t>Bảng 3.4. Thiết kế Star Schema ở tầng Gold</w:t>
      </w:r>
    </w:p>
    <w:p>
      <w:pPr/>
      <w:r>
        <w:t>Bảng 3.5. Airflow DAG và dependency chính</w:t>
      </w:r>
    </w:p>
    <w:p>
      <w:pPr/>
      <w:r>
        <w:t>Bảng 3.6. Quy tắc che giấu dữ liệu cá nhân trong Silver</w:t>
      </w:r>
    </w:p>
    <w:p>
      <w:pPr/>
      <w:r>
        <w:t>Bảng 4.1. Kết quả kiểm thử dữ liệu và pipeline chính</w:t>
      </w:r>
    </w:p>
    <w:p>
      <w:pPr/>
      <w:r>
        <w:t>Bảng 4.2. Checklist nghiệm thu kỹ thuật cho pipeline</w:t>
      </w:r>
    </w:p>
    <w:p>
      <w:pPr/>
      <w:r>
        <w:t>Bảng 4.3. Định nghĩa KPI và biểu đồ dashboard</w:t>
      </w:r>
    </w:p>
    <w:p>
      <w:pPr/>
      <w:r>
        <w:t>Bảng 4.4. So sánh hậu thực nghiệm giữa BoW và RoBERTa để chọn mô hình production</w:t>
      </w:r>
    </w:p>
    <w:p>
      <w:pPr/>
      <w:r>
        <w:t>Bảng 4.5. Kết quả huấn luyện và tinh chỉnh model riêng cho CallCenterEN</w:t>
      </w:r>
    </w:p>
    <w:p>
      <w:pPr/>
      <w:r>
        <w:t>Bảng 4.6. So sánh trực quan hai mô hình theo nguồn dữ liệu</w:t>
      </w:r>
    </w:p>
    <w:p>
      <w:pPr/>
      <w:r>
        <w:t>Bảng 4.7. Kết quả ghi bảng Lakehouse cho nhánh CallCenterEN</w:t>
      </w:r>
    </w:p>
    <w:p>
      <w:pPr/>
      <w:r>
        <w:t>Bảng 4.8. Kết quả kiểm thử full pipeline tuần tự ngày 26/06/2026</w:t>
      </w:r>
    </w:p>
    <w:p>
      <w:pPr/>
      <w:r>
        <w:t>Bảng 5.1. Hạn chế và hướng xử lý đề xuất</w:t>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t>• Xây dựng hạ tầng dữ liệu end-to-end bằng Docker Compose, bao gồm MongoDB, Debezium, Kafka, MinIO, Spark, Iceberg, Airflow, Superset và dashboard minh họa.</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Thiết kế kiến trúc multi-source Lakehouse với hai nhánh dữ liệu tương đương: AGI Telesales và CallCenterEN. Mỗi nhánh có luồng Bronze/Silver/Gold, mô hình NLP hoặc model call_code phù hợp với miền dữ liệu, và lớp Gold/serving dùng để phân tích hoặc so sánh.</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minh họa.</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pPr>
        <w:jc w:val="both"/>
      </w:pPr>
      <w:r>
        <w:rPr>
          <w:b w:val="0"/>
        </w:rPr>
        <w:t>Các công trình liên quan đến đề tài có thể được chia thành bốn nhóm chính: nền tảng Lakehouse, thu thập thay đổi dữ liệu gần thời gian thực, khai phá transcript call-center bằng NLP và bảo vệ dữ liệu cá nhân trong pipeline phân tích. Việc đối chiếu các nhóm công trình này giúp xác định rõ khoảng trống mà khóa luận xử lý: không chỉ mô tả một công nghệ riêng lẻ, mà kết nối nhiều lớp công nghệ thành một pipeline dữ liệu end-to-end cho bối cảnh AGI Telesales.</w:t>
      </w:r>
    </w:p>
    <w:p>
      <w:pPr>
        <w:jc w:val="both"/>
      </w:pPr>
      <w:r>
        <w:rPr>
          <w:b w:val="0"/>
        </w:rPr>
        <w:t>Nhóm nghiên cứu về Lakehouse đặt nền tảng cho cách tổ chức dữ liệu của đề tài. Công trình Lakehouse tại CIDR 2021 đề xuất thế hệ nền tảng dữ liệu mở nhằm thống nhất Data Warehousing và Advanced Analytics trên cùng một kiến trúc [11]. Ý tưởng này phù hợp với bài toán Telesales vì hệ thống cần vừa lưu dữ liệu thô như transcript, vừa tạo bảng phân tích có cấu trúc cho dashboard. Apache Iceberg cung cấp cơ chế quản trị bảng trên data lake như schema evolution, snapshot và transaction semantics [7], qua đó giúp dữ liệu trong MinIO/S3-compatible storage có thể được xử lý như các bảng phân tích có kiểm soát thay vì chỉ là tập file rời rạc.</w:t>
      </w:r>
    </w:p>
    <w:p>
      <w:pPr>
        <w:jc w:val="both"/>
      </w:pPr>
      <w:r>
        <w:rPr>
          <w:b w:val="0"/>
        </w:rPr>
        <w:t>Tuy nhiên, các công trình và tài liệu Lakehouse thường tập trung vào kiến trúc nền tảng hoặc workload phân tích tổng quát, chưa đi sâu vào một bài toán nghiệp vụ có dòng dữ liệu hội thoại, nhãn NLP và yêu cầu che giấu PII. Khóa luận kế thừa tư tưởng Lakehouse và Medallion, nhưng cụ thể hóa thành ba tầng Bronze/Silver/Gold cho customer, offer, call_logs và transcript. Đây là điểm khác biệt so với các mô tả Lakehouse chung: tầng Silver không chỉ chuẩn hóa schema mà còn thực hiện masking và inference call_code, còn tầng Gold được thiết kế theo Star Schema để phục vụ KPI Telesales.</w:t>
      </w:r>
    </w:p>
    <w:p>
      <w:pPr>
        <w:jc w:val="both"/>
      </w:pPr>
      <w:r>
        <w:rPr>
          <w:b w:val="0"/>
        </w:rPr>
        <w:t>Nhóm công nghệ thứ hai liên quan đến Change Data Capture và luồng dữ liệu gần thời gian thực. Debezium MongoDB connector đọc thay đổi từ replica set/change streams và phát sự kiện sang Kafka Connect [4]; MongoDB Change Streams cũng là cơ chế chính thức để ứng dụng downstream theo dõi insert, update và delete mà không quét lại toàn bộ collection [30]. Các tài liệu này chứng minh tính hợp lý của hướng tách tải OLTP/OLAP: cơ sở dữ liệu vận hành ghi nhận giao dịch, còn dữ liệu phân tích được đưa sang pipeline downstream qua CDC.</w:t>
      </w:r>
    </w:p>
    <w:p>
      <w:pPr>
        <w:jc w:val="both"/>
      </w:pPr>
      <w:r>
        <w:rPr>
          <w:b w:val="0"/>
        </w:rPr>
        <w:t>Khoảng trống ở nhóm CDC nằm ở việc nhiều hướng dẫn chỉ dừng ở connector, topic hoặc consumer mẫu. Trong khóa luận, CDC không được trình bày như một bước riêng lẻ mà được nối tiếp vào Bronze Iceberg, Silver ETL, Gold Star Schema, BigQuery sync và dashboard. Cách triển khai này cho phép đánh giá không chỉ connector có chạy hay không, mà còn kiểm chứng số dòng, schema, PII masking, NLP inference và serving view sau khi dữ liệu đi qua toàn bộ pipeline.</w:t>
      </w:r>
    </w:p>
    <w:p>
      <w:pPr>
        <w:jc w:val="both"/>
      </w:pPr>
      <w:r>
        <w:rPr>
          <w:b w:val="0"/>
        </w:rPr>
        <w:t>Nhóm công trình thứ ba liên quan đến dữ liệu call-center và NLP. CallCenterEN là tập transcript call-center tiếng Anh có PII redaction, được công bố cùng bài báo Real-World En Call Center Transcripts Dataset with PII Redaction và dataset card trên Hugging Face [25], [26]. Tập dữ liệu này có giá trị vì phản ánh transcript call-center thật, nhiều domain, có metadata hội thoại và có vấn đề PII. Bên cạnh đó, các nghiên cứu về domain-adaptive pretraining, weak supervision và self-training chỉ ra rằng dữ liệu gán nhãn yếu hoặc dữ liệu khác miền có thể hỗ trợ mở rộng mô hình nhưng cần đánh giá cẩn trọng về nhiễu nhãn và domain shift [27]-[29].</w:t>
      </w:r>
    </w:p>
    <w:p>
      <w:pPr>
        <w:jc w:val="both"/>
      </w:pPr>
      <w:r>
        <w:t>Từ các công trình này, khóa luận không chỉ sử dụng CallCenterEN ở vai trò tham chiếu học thuật, mà tổ chức dataset này thành một nhánh dữ liệu tương đương với AGI Telesales trong kiến trúc multi-source. Nhánh AGI Telesales phục vụ bài toán nghiệp vụ tài chính với customer, offer và call_logs; nhánh CallCenterEN phục vụ kiểm chứng khả năng tiếp nhận transcript call-center bên ngoài, huấn luyện model call_code riêng và so sánh domain shift. Cách tiếp cận này lấp khoảng trống giữa bài toán NLP độc lập và bài toán Data Engineering độc lập: mô hình NLP được đặt trực tiếp trong pipeline Lakehouse, có ảnh hưởng đến Silver, Gold và dashboard.</w:t>
      </w:r>
    </w:p>
    <w:p>
      <w:pPr>
        <w:jc w:val="both"/>
      </w:pPr>
      <w:r>
        <w:rPr>
          <w:b w:val="0"/>
        </w:rPr>
        <w:t>Nhóm công trình thứ tư liên quan đến BI và lớp phục vụ phân tích. BigQuery, Superset và Looker Studio đều hướng đến việc cung cấp lớp truy vấn và trực quan hóa cho dữ liệu đã được chuẩn hóa [10], [31], [32]. Tuy nhiên, dashboard chỉ có ý nghĩa khi lớp dữ liệu phía sau có lineage, row count, schema và quy tắc bảo mật rõ ràng. Vì vậy, khóa luận không chỉ xây dựng biểu đồ KPI mà còn kiểm chứng đường đi dữ liệu từ MongoDB, Kafka, Iceberg, BigQuery đến dashboard.</w:t>
      </w:r>
    </w:p>
    <w:p>
      <w:pPr>
        <w:jc w:val="both"/>
      </w:pPr>
      <w:r>
        <w:rPr>
          <w:b w:val="0"/>
        </w:rPr>
        <w:t>Tổng hợp các nhóm công trình trên cho thấy khoảng trống nghiên cứu của đề tài nằm ở sự kết hợp giữa kiến trúc Lakehouse, CDC, xử lý transcript bằng NLP, PII masking, multi-source dataset và BI serving trong một prototype có thể chạy end-to-end. Nhiều tài liệu đã trình bày từng thành phần riêng lẻ, nhưng ít tài liệu mô tả đầy đủ một pipeline AGI Telesales có hai nhánh dữ liệu tương đương, có so sánh mô hình BoW/RoBERTa trong điều kiện vận hành CPU-only và có kiểm thử dữ liệu đến lớp BigQuery/dashboard. Đây là cơ sở để đề tài tập trung vào thiết kế tích hợp, bằng chứng thực nghiệm và phân tích trade-off thay vì chỉ benchmark một công nghệ đơn lẻ.</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r>
              <w:t>lakehouse.silver.call_logs có call_code do mô hình sinh</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MinIO local được xem là môi trường mô phỏng kiến trúc, không phải bằng chứng về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trình diễn,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t>Do đó, CallCenterEN không chỉ là dữ liệu tham khảo ở mức mô tả. Nó tạo ra một cầu nối phương pháp luận: nhánh AGI Telesales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thực nghiệm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Trong kiến trúc cuối cùng, đề tài không xem CallCenterEN như phần phụ thêm sau dataset AGI Telesales, mà tổ chức hệ thống thành hai nhánh dữ liệu tương đương trong cùng Hybrid Data Lakehouse. Nhánh AGI Telesales đại diện cho bài toán nghiệp vụ telesales tài chính với customer, offer, call_logs, transcript và nhãn phục vụ mô hình NLP. Nhánh CallCenterEN đại diện cho nguồn transcript call-center thực tế bên ngoài, có metadata hội thoại và nhãn call_code riêng để kiểm chứng khả năng mở rộng multi-source.</w:t>
      </w:r>
    </w:p>
    <w:p>
      <w:r>
        <w:t>Việc đặt hai nhánh ngang hàng không có nghĩa là trộn lẫn schema hoặc dùng chung một mô hình cho mọi dữ liệu. Hai nguồn được xử lý độc lập, có split huấn luyện/kiểm thử riêng, có mô hình hoặc ngưỡng suy luận riêng, và chỉ gặp nhau ở tầng Gold/serving để so sánh profile dữ liệu, phân phối call_code và khác biệt miền dữ liệu.</w:t>
      </w:r>
    </w:p>
    <w:p>
      <w:r>
        <w:t>Sự tương đương ở đây là tương đương về vai trò kiến trúc và thực nghiệm, không phải giống hệt về schema nghiệp vụ. AGI Telesales có quan hệ customer-offer-call đầy đủ để phục vụ star schema nghiệp vụ; CallCenterEN tập trung vào transcript, domain, hướng cuộc gọi, thời lượng, ASR confidence, metadata PII và call_code do model riêng sinh ra. Vì vậy mỗi nhánh có schema phù hợp với bản chất nguồn dữ liệu nhưng được kiểm thử theo cùng nguyên tắc Medallion.</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sử dụng bản công bố công khai của CallCenterEN như nhánh dữ liệu thực nghiệm thứ hai của Lakehouse, đồng thời khai thác mô tả học thuật của dataset để giải thích domain shift, PII redaction và đặc trưng transcript call-center.</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callcenteren_15k_candidate</w:t>
            </w:r>
          </w:p>
        </w:tc>
        <w:tc>
          <w:tcPr>
            <w:tcW w:type="dxa" w:w="3202"/>
          </w:tcPr>
          <w:p>
            <w:r>
              <w:t>15,000</w:t>
            </w:r>
          </w:p>
        </w:tc>
        <w:tc>
          <w:tcPr>
            <w:tcW w:type="dxa" w:w="3202"/>
          </w:tcPr>
          <w:p>
            <w:r>
              <w:t>Nguồn chính cho nhánh CallCenterEN trong pipeline multi-source</w:t>
            </w:r>
          </w:p>
        </w:tc>
      </w:tr>
      <w:tr>
        <w:tc>
          <w:tcPr>
            <w:tcW w:type="dxa" w:w="3202"/>
          </w:tcPr>
          <w:p>
            <w:r>
              <w:t>pseudo_labels_gemini / callcenteren_labeled</w:t>
            </w:r>
          </w:p>
        </w:tc>
        <w:tc>
          <w:tcPr>
            <w:tcW w:type="dxa" w:w="3202"/>
          </w:tcPr>
          <w:p>
            <w:r>
              <w:t>2,420 / 2,260</w:t>
            </w:r>
          </w:p>
        </w:tc>
        <w:tc>
          <w:tcPr>
            <w:tcW w:type="dxa" w:w="3202"/>
          </w:tcPr>
          <w:p>
            <w:r>
              <w:t>Weak labels thô và tập hợp lệ sau merge/lọc, dùng để train/valid/test model riêng</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sentiment management hoặc satisfaction check. Những đặc trưng này được dùng để thiết kế dữ liệu AGI Telesales có cấu trúc hội thoại hợp lý, nhưng không làm mất vai trò độc lập của CallCenterEN trong thực nghiệm cuối cùng.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như một nhánh dữ liệu độc lập trong kiến trúc multi-source. Nhánh này có dữ liệu đầu vào, split, mô hình call_code, bảng Bronze/Silver/Gold, Star Schema và bảng so sánh riêng. Vai trò tham chiếu học thuật của CallCenterEN chỉ giúp giải thích đặc trưng dữ liệu; trong thực nghiệm, nó được đánh giá ngang cấp với nhánh AGI Telesales.</w:t>
      </w:r>
    </w:p>
    <w:p>
      <w:pPr>
        <w:pStyle w:val="Heading3"/>
      </w:pPr>
      <w:r>
        <w:t>2.1.5. Quan hệ thiết kế giữa hai nhánh dữ liệu</w:t>
      </w:r>
    </w:p>
    <w:p>
      <w:r>
        <w:t>Ở giai đoạn thiết kế ban đầu, việc phân tích CallCenterEN giúp nhận diện các đặc trưng thường gặp của dữ liệu call-center như cấu trúc hội thoại, PII, duration, hướng cuộc gọi và domain. Những quan sát này được dùng để định hình prompt và schema khi xây dựng nhánh AGI Telesales. Tuy nhiên, trong kiến trúc thực nghiệm cuối cùng, quan hệ này không còn là quan hệ chính-phụ: AGI Telesales và CallCenterEN được triển khai như hai nhánh dữ liệu song song.</w:t>
      </w:r>
    </w:p>
    <w:p>
      <w:r>
        <w:t>Trong bước phân tích nền, nghiên cứu sử dụng 3.000 mẫu CallCenterEN từ baseline_analysis_sample để quan sát đặc trưng hội thoại. Tập này không dùng để train trực tiếp cho model AGI Telesales. Về sau, CallCenterEN được xử lý bằng candidate dataset 15.000 dòng, split pseudo-label riêng và model call_code riêng để trở thành một nhánh thực nghiệm hoàn chỉnh.</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t>Từ bảng trên, prompt tạo dữ liệu cho nhánh AGI Telesales được thiết kế để bắt buộc transcript có cấu trúc hội thoại rõ ràng: mở đầu cuộc gọi, xác minh hoặc nhắc đến thông tin khách hàng, phân tích nhu cầu, giới thiệu sản phẩm/offer, thảo luận phí hoặc điều kiện và kết thúc bằng outcome. Đây là bước thiết kế dữ liệu cho nhánh AGI Telesales, không phải lý do để xem CallCenterEN là phần phụ trong kiến trúc multi-source.</w:t>
      </w:r>
    </w:p>
    <w:p>
      <w:r>
        <w:t>Như vậy, CallCenterEN vừa cung cấp kinh nghiệm thiết kế dữ liệu ở giai đoạn đầu, vừa được triển khai như một nguồn dữ liệu độc lập trong giai đoạn thực nghiệm. Cách viết này phản ánh đúng hai lớp quan hệ: quan hệ lịch sử trong thiết kế prompt và quan hệ ngang cấp trong kiến trúc multi-source cuối cùng.</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2.4.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r>
              <w:t>PII; khi sync BigQuery thì bị drop nếu BLOCKED_BIGQUERY_COLUMNS.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2.5.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2.6.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2.7.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2.8.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2.3.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t>2.3.5. So sánh hai nhánh dữ liệu AGI Telesales và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Nhánh dữ liệu AGI Telesales trong Lakehouse</w:t>
            </w:r>
          </w:p>
        </w:tc>
        <w:tc>
          <w:tcPr>
            <w:tcW w:type="dxa" w:w="3202"/>
          </w:tcPr>
          <w:p>
            <w:r>
              <w:t>Nhánh dữ liệu CallCenterEN trong Lakehouse</w:t>
            </w:r>
          </w:p>
        </w:tc>
      </w:tr>
      <w:tr>
        <w:tc>
          <w:tcPr>
            <w:tcW w:type="dxa" w:w="3202"/>
          </w:tcPr>
          <w:p>
            <w:r>
              <w:t>Số mẫu</w:t>
            </w:r>
          </w:p>
        </w:tc>
        <w:tc>
          <w:tcPr>
            <w:tcW w:type="dxa" w:w="3202"/>
          </w:tcPr>
          <w:p>
            <w:r>
              <w:t>23,447</w:t>
            </w:r>
          </w:p>
        </w:tc>
        <w:tc>
          <w:tcPr>
            <w:tcW w:type="dxa" w:w="3202"/>
          </w:tcPr>
          <w:p>
            <w:r>
              <w:t>15,000 candidate; 2,260 labeled split</w:t>
            </w:r>
          </w:p>
        </w:tc>
      </w:tr>
      <w:tr>
        <w:tc>
          <w:tcPr>
            <w:tcW w:type="dxa" w:w="3202"/>
          </w:tcPr>
          <w:p>
            <w:r>
              <w:t>Độ dài transcript trung bình</w:t>
            </w:r>
          </w:p>
        </w:tc>
        <w:tc>
          <w:tcPr>
            <w:tcW w:type="dxa" w:w="3202"/>
          </w:tcPr>
          <w:p>
            <w:r>
              <w:t>897.2545</w:t>
            </w:r>
          </w:p>
        </w:tc>
        <w:tc>
          <w:tcPr>
            <w:tcW w:type="dxa" w:w="3202"/>
          </w:tcPr>
          <w:p>
            <w:r>
              <w:t>3746.2027</w:t>
            </w:r>
          </w:p>
        </w:tc>
      </w:tr>
      <w:tr>
        <w:tc>
          <w:tcPr>
            <w:tcW w:type="dxa" w:w="3202"/>
          </w:tcPr>
          <w:p>
            <w:r>
              <w:t>Số từ trung bình</w:t>
            </w:r>
          </w:p>
        </w:tc>
        <w:tc>
          <w:tcPr>
            <w:tcW w:type="dxa" w:w="3202"/>
          </w:tcPr>
          <w:p>
            <w:r>
              <w:t>151.0447</w:t>
            </w:r>
          </w:p>
        </w:tc>
        <w:tc>
          <w:tcPr>
            <w:tcW w:type="dxa" w:w="3202"/>
          </w:tcPr>
          <w:p>
            <w:r>
              <w:t>639.8362</w:t>
            </w:r>
          </w:p>
        </w:tc>
      </w:tr>
      <w:tr>
        <w:tc>
          <w:tcPr>
            <w:tcW w:type="dxa" w:w="3202"/>
          </w:tcPr>
          <w:p>
            <w:r>
              <w:t>Thời lượng trung bình</w:t>
            </w:r>
          </w:p>
        </w:tc>
        <w:tc>
          <w:tcPr>
            <w:tcW w:type="dxa" w:w="3202"/>
          </w:tcPr>
          <w:p>
            <w:r>
              <w:t>272.8059</w:t>
            </w:r>
          </w:p>
        </w:tc>
        <w:tc>
          <w:tcPr>
            <w:tcW w:type="dxa" w:w="3202"/>
          </w:tcPr>
          <w:p>
            <w:r>
              <w:t>349.5284</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0.9128</w:t>
            </w:r>
          </w:p>
        </w:tc>
      </w:tr>
      <w:tr>
        <w:tc>
          <w:tcPr>
            <w:tcW w:type="dxa" w:w="3202"/>
          </w:tcPr>
          <w:p>
            <w:r>
              <w:t>PII redaction/masking</w:t>
            </w:r>
          </w:p>
        </w:tc>
        <w:tc>
          <w:tcPr>
            <w:tcW w:type="dxa" w:w="3202"/>
          </w:tcPr>
          <w:p>
            <w:r>
              <w:t>Masking ở Silver</w:t>
            </w:r>
          </w:p>
        </w:tc>
        <w:tc>
          <w:tcPr>
            <w:tcW w:type="dxa" w:w="3202"/>
          </w:tcPr>
          <w:p>
            <w:r>
              <w:t>Trung bình 55.5125 token PII/mẫu</w:t>
            </w:r>
          </w:p>
        </w:tc>
      </w:tr>
    </w:tbl>
    <w:p/>
    <w:p>
      <w:r>
        <w:t>Bảng so sánh cho thấy hai nguồn dữ liệu có vai trò ngang cấp trong cùng kiến trúc multi-source nhưng khác nhau về bản chất dữ liệu. AGI Telesales phù hợp với phân tích nghiệp vụ telesales tài chính nhờ quan hệ customer-offer-call; CallCenterEN phù hợp với kiểm chứng transcript call-center thực tế, domain đa dạng và metadata PII. Vì vậy báo cáo không xem CallCenterEN là phần bổ sung, mà xem đây là nhánh dữ liệu thứ hai để đánh giá khả năng mở rộng của Lakehouse.</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2.4.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2.9.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nhánh AGI Telesales,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Đọc JSON trực tiếp từ ZIP</w:t>
            </w:r>
          </w:p>
        </w:tc>
        <w:tc>
          <w:tcPr>
            <w:tcW w:type="dxa" w:w="3202"/>
          </w:tcPr>
          <w:p>
            <w:r>
              <w:t>Không giải nén toàn bộ dataset gốc</w:t>
            </w:r>
          </w:p>
        </w:tc>
        <w:tc>
          <w:tcPr>
            <w:tcW w:type="dxa" w:w="3202"/>
          </w:tcPr>
          <w:p>
            <w:r>
              <w:t>Bỏ __MACOSX, giữ source_zip/source_entry/source_domain</w:t>
            </w:r>
          </w:p>
        </w:tc>
      </w:tr>
      <w:tr>
        <w:tc>
          <w:tcPr>
            <w:tcW w:type="dxa" w:w="3202"/>
          </w:tcPr>
          <w:p>
            <w:r>
              <w:t>Lọc chất lượng transcript</w:t>
            </w:r>
          </w:p>
        </w:tc>
        <w:tc>
          <w:tcPr>
            <w:tcW w:type="dxa" w:w="3202"/>
          </w:tcPr>
          <w:p>
            <w:r>
              <w:t>Giữ mẫu đủ dài và confidence tốt</w:t>
            </w:r>
          </w:p>
        </w:tc>
        <w:tc>
          <w:tcPr>
            <w:tcW w:type="dxa" w:w="3202"/>
          </w:tcPr>
          <w:p>
            <w:r>
              <w:t>15,000 candidate; confidence trung bình 0.9128</w:t>
            </w:r>
          </w:p>
        </w:tc>
      </w:tr>
      <w:tr>
        <w:tc>
          <w:tcPr>
            <w:tcW w:type="dxa" w:w="3202"/>
          </w:tcPr>
          <w:p>
            <w:r>
              <w:t>Deduplicate</w:t>
            </w:r>
          </w:p>
        </w:tc>
        <w:tc>
          <w:tcPr>
            <w:tcW w:type="dxa" w:w="3202"/>
          </w:tcPr>
          <w:p>
            <w:r>
              <w:t>Loại transcript trùng theo normalized text</w:t>
            </w:r>
          </w:p>
        </w:tc>
        <w:tc>
          <w:tcPr>
            <w:tcW w:type="dxa" w:w="3202"/>
          </w:tcPr>
          <w:p>
            <w:r>
              <w:t>text_hash dùng làm khóa split deterministic</w:t>
            </w:r>
          </w:p>
        </w:tc>
      </w:tr>
      <w:tr>
        <w:tc>
          <w:tcPr>
            <w:tcW w:type="dxa" w:w="3202"/>
          </w:tcPr>
          <w:p>
            <w:r>
              <w:t>Tạo baseline sample</w:t>
            </w:r>
          </w:p>
        </w:tc>
        <w:tc>
          <w:tcPr>
            <w:tcW w:type="dxa" w:w="3202"/>
          </w:tcPr>
          <w:p>
            <w:r>
              <w:t>Phân tích cơ sở dữ liệu tham chiếu</w:t>
            </w:r>
          </w:p>
        </w:tc>
        <w:tc>
          <w:tcPr>
            <w:tcW w:type="dxa" w:w="3202"/>
          </w:tcPr>
          <w:p>
            <w:r>
              <w:t>3,000 mẫu phục vụ phân tích prompt/schema</w:t>
            </w:r>
          </w:p>
        </w:tc>
      </w:tr>
      <w:tr>
        <w:tc>
          <w:tcPr>
            <w:tcW w:type="dxa" w:w="3202"/>
          </w:tcPr>
          <w:p>
            <w:r>
              <w:t>Pseudo-labeling và split</w:t>
            </w:r>
          </w:p>
        </w:tc>
        <w:tc>
          <w:tcPr>
            <w:tcW w:type="dxa" w:w="3202"/>
          </w:tcPr>
          <w:p>
            <w:r>
              <w:t>Gán weak label theo bộ call_code của đề tài</w:t>
            </w:r>
          </w:p>
        </w:tc>
        <w:tc>
          <w:tcPr>
            <w:tcW w:type="dxa" w:w="3202"/>
          </w:tcPr>
          <w:p>
            <w:r>
              <w:t>2,420 pseudo-label; 2,260 dòng hợp lệ, train/valid/test = 1,598/315/347</w:t>
            </w:r>
          </w:p>
        </w:tc>
      </w:tr>
      <w:tr>
        <w:tc>
          <w:tcPr>
            <w:tcW w:type="dxa" w:w="3202"/>
          </w:tcPr>
          <w:p>
            <w:r>
              <w:t>Inference model riêng</w:t>
            </w:r>
          </w:p>
        </w:tc>
        <w:tc>
          <w:tcPr>
            <w:tcW w:type="dxa" w:w="3202"/>
          </w:tcPr>
          <w:p>
            <w:r>
              <w:t>Áp dụng model CallCenterEN đã tinh chỉnh cho toàn bộ candidate</w:t>
            </w:r>
          </w:p>
        </w:tc>
        <w:tc>
          <w:tcPr>
            <w:tcW w:type="dxa" w:w="3202"/>
          </w:tcPr>
          <w:p>
            <w:r>
              <w:t>callcenteren_15k_with_model_callcodes.csv có 15,000 dòng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2.5.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2.6.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nhánh AGI Telesales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BoW production cho pipeline Silver chính</w:t>
            </w:r>
          </w:p>
        </w:tc>
      </w:tr>
      <w:tr>
        <w:tc>
          <w:tcPr>
            <w:tcW w:type="dxa" w:w="2401"/>
          </w:tcPr>
          <w:p>
            <w:r>
              <w:t>M1</w:t>
            </w:r>
          </w:p>
        </w:tc>
        <w:tc>
          <w:tcPr>
            <w:tcW w:type="dxa" w:w="2401"/>
          </w:tcPr>
          <w:p>
            <w:r>
              <w:t>Dataset chính</w:t>
            </w:r>
          </w:p>
        </w:tc>
        <w:tc>
          <w:tcPr>
            <w:tcW w:type="dxa" w:w="2401"/>
          </w:tcPr>
          <w:p>
            <w:r>
              <w:t>CallCenterEN labeled split</w:t>
            </w:r>
          </w:p>
        </w:tc>
        <w:tc>
          <w:tcPr>
            <w:tcW w:type="dxa" w:w="2401"/>
          </w:tcPr>
          <w:p>
            <w:r>
              <w:t>Đo domain shift khi model chính đánh chéo sang CallCenterEN</w:t>
            </w:r>
          </w:p>
        </w:tc>
      </w:tr>
      <w:tr>
        <w:tc>
          <w:tcPr>
            <w:tcW w:type="dxa" w:w="2401"/>
          </w:tcPr>
          <w:p>
            <w:r>
              <w:t>M2 / CallCenterEN riêng</w:t>
            </w:r>
          </w:p>
        </w:tc>
        <w:tc>
          <w:tcPr>
            <w:tcW w:type="dxa" w:w="2401"/>
          </w:tcPr>
          <w:p>
            <w:r>
              <w:t>CallCenterEN train/valid</w:t>
            </w:r>
          </w:p>
        </w:tc>
        <w:tc>
          <w:tcPr>
            <w:tcW w:type="dxa" w:w="2401"/>
          </w:tcPr>
          <w:p>
            <w:r>
              <w:t>CallCenterEN test</w:t>
            </w:r>
          </w:p>
        </w:tc>
        <w:tc>
          <w:tcPr>
            <w:tcW w:type="dxa" w:w="2401"/>
          </w:tcPr>
          <w:p>
            <w:r>
              <w:t>Huấn luyện/tinh chỉnh threshold cho model riêng của nhánh external</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t>Hệ thống cũng cần chạy được cục bộ bằng Docker Compose để phục vụ trình diễn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t>Tuy vậy, Docker Compose không phải mô hình production đầy đủ. Kafka chỉ có một broker, Spark chỉ có một worker, MinIO chạy local và credentials thử nghiệm còn đơn giản. Trong phạm vi đồ án, môi trường này được xác định là prototype phục vụ chứng minh kiến trúc. Khi triển khai thực tế, hệ thống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3.2.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3.3.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3.4.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3.5.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3.6.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t>Airflow DAG telesales_lakehouse_pipeline điều phối pipeline theo mô hình staged task group: wait_for_debezium_connector đứng đầu, sau đó là các task 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r>
              <w:t>wait_for_debezium_connector</w:t>
            </w:r>
          </w:p>
        </w:tc>
        <w:tc>
          <w:tcPr>
            <w:tcW w:type="dxa" w:w="2268"/>
            <w:tcMar>
              <w:top w:w="80" w:type="dxa"/>
              <w:start w:w="120" w:type="dxa"/>
              <w:bottom w:w="80" w:type="dxa"/>
              <w:end w:w="120" w:type="dxa"/>
            </w:tcMar>
            <w:vAlign w:val="center"/>
          </w:tcPr>
          <w:p>
            <w:r>
              <w:t>PythonSensor</w:t>
            </w:r>
          </w:p>
        </w:tc>
        <w:tc>
          <w:tcPr>
            <w:tcW w:type="dxa" w:w="2268"/>
            <w:tcMar>
              <w:top w:w="80" w:type="dxa"/>
              <w:start w:w="120" w:type="dxa"/>
              <w:bottom w:w="80" w:type="dxa"/>
              <w:end w:w="120" w:type="dxa"/>
            </w:tcMar>
            <w:vAlign w:val="center"/>
          </w:tcPr>
          <w:p>
            <w:r>
              <w:t>Chờ connector mongo-source và task Debezium RUNNING</w:t>
            </w:r>
          </w:p>
        </w:tc>
        <w:tc>
          <w:tcPr>
            <w:tcW w:type="dxa" w:w="2268"/>
            <w:tcMar>
              <w:top w:w="80" w:type="dxa"/>
              <w:start w:w="120" w:type="dxa"/>
              <w:bottom w:w="80" w:type="dxa"/>
              <w:end w:w="120" w:type="dxa"/>
            </w:tcMar>
            <w:vAlign w:val="center"/>
          </w:tcPr>
          <w:p>
            <w:r>
              <w:t>Timeout 300 giây, reschedule mode.</w:t>
            </w:r>
          </w:p>
        </w:tc>
      </w:tr>
      <w:tr>
        <w:tc>
          <w:tcPr>
            <w:tcW w:type="dxa" w:w="2268"/>
            <w:tcMar>
              <w:top w:w="80" w:type="dxa"/>
              <w:start w:w="120" w:type="dxa"/>
              <w:bottom w:w="80" w:type="dxa"/>
              <w:end w:w="120" w:type="dxa"/>
            </w:tcMar>
            <w:vAlign w:val="center"/>
          </w:tcPr>
          <w:p>
            <w:r>
              <w:t>primary_telesales.*.bronze</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bronze_job.py riêng cho cust_dataset, offer_dataset và call_logs_dataset</w:t>
            </w:r>
          </w:p>
        </w:tc>
        <w:tc>
          <w:tcPr>
            <w:tcW w:type="dxa" w:w="2268"/>
            <w:tcMar>
              <w:top w:w="80" w:type="dxa"/>
              <w:start w:w="120" w:type="dxa"/>
              <w:bottom w:w="80" w:type="dxa"/>
              <w:end w:w="120" w:type="dxa"/>
            </w:tcMar>
            <w:vAlign w:val="center"/>
          </w:tcPr>
          <w:p>
            <w:r>
              <w:t>TRIGGER_ONCE=true để task streaming kết thúc được trong Airflow.</w:t>
            </w:r>
          </w:p>
        </w:tc>
      </w:tr>
      <w:tr>
        <w:tc>
          <w:tcPr>
            <w:tcW w:type="dxa" w:w="2268"/>
            <w:tcMar>
              <w:top w:w="80" w:type="dxa"/>
              <w:start w:w="120" w:type="dxa"/>
              <w:bottom w:w="80" w:type="dxa"/>
              <w:end w:w="120" w:type="dxa"/>
            </w:tcMar>
            <w:vAlign w:val="center"/>
          </w:tcPr>
          <w:p>
            <w:r>
              <w:t>primary_telesales.*.silver</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silver_job.py riêng theo entity; call_logs thực hiện mask PII, dedup và BoW inference</w:t>
            </w:r>
          </w:p>
        </w:tc>
        <w:tc>
          <w:tcPr>
            <w:tcW w:type="dxa" w:w="2268"/>
            <w:tcMar>
              <w:top w:w="80" w:type="dxa"/>
              <w:start w:w="120" w:type="dxa"/>
              <w:bottom w:w="80" w:type="dxa"/>
              <w:end w:w="120" w:type="dxa"/>
            </w:tcMar>
            <w:vAlign w:val="center"/>
          </w:tcPr>
          <w:p>
            <w:r>
              <w:t>Airflow truyền NLP_MODEL_TYPE=bow; RoBERTa là baseline/thí nghiệm tùy chọn.</w:t>
            </w:r>
          </w:p>
        </w:tc>
      </w:tr>
      <w:tr>
        <w:tc>
          <w:tcPr>
            <w:tcW w:type="dxa" w:w="2268"/>
            <w:tcMar>
              <w:top w:w="80" w:type="dxa"/>
              <w:start w:w="120" w:type="dxa"/>
              <w:bottom w:w="80" w:type="dxa"/>
              <w:end w:w="120" w:type="dxa"/>
            </w:tcMar>
            <w:vAlign w:val="center"/>
          </w:tcPr>
          <w:p>
            <w:r>
              <w:t>primary_telesales.gold.*</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Tạo dim_customer, dim_offer, dim_date và fact_telesales_calls</w:t>
            </w:r>
          </w:p>
        </w:tc>
        <w:tc>
          <w:tcPr>
            <w:tcW w:type="dxa" w:w="2268"/>
            <w:tcMar>
              <w:top w:w="80" w:type="dxa"/>
              <w:start w:w="120" w:type="dxa"/>
              <w:bottom w:w="80" w:type="dxa"/>
              <w:end w:w="120" w:type="dxa"/>
            </w:tcMar>
            <w:vAlign w:val="center"/>
          </w:tcPr>
          <w:p>
            <w:r>
              <w:t>Ghi bằng MERGE INTO Iceberg và giữ call_code làm nhãn phân tích.</w:t>
            </w:r>
          </w:p>
        </w:tc>
      </w:tr>
      <w:tr>
        <w:tc>
          <w:tcPr>
            <w:tcW w:type="dxa" w:w="2268"/>
            <w:tcMar>
              <w:top w:w="80" w:type="dxa"/>
              <w:start w:w="120" w:type="dxa"/>
              <w:bottom w:w="80" w:type="dxa"/>
              <w:end w:w="120" w:type="dxa"/>
            </w:tcMar>
            <w:vAlign w:val="center"/>
          </w:tcPr>
          <w:p>
            <w:r>
              <w:t>callcenteren_external.* / bq_sync_gold</w:t>
            </w:r>
          </w:p>
        </w:tc>
        <w:tc>
          <w:tcPr>
            <w:tcW w:type="dxa" w:w="2268"/>
            <w:tcMar>
              <w:top w:w="80" w:type="dxa"/>
              <w:start w:w="120" w:type="dxa"/>
              <w:bottom w:w="80" w:type="dxa"/>
              <w:end w:w="120" w:type="dxa"/>
            </w:tcMar>
            <w:vAlign w:val="center"/>
          </w:tcPr>
          <w:p>
            <w:r>
              <w:t>SparkSubmitOperator / BashOperator</w:t>
            </w:r>
          </w:p>
        </w:tc>
        <w:tc>
          <w:tcPr>
            <w:tcW w:type="dxa" w:w="2268"/>
            <w:tcMar>
              <w:top w:w="80" w:type="dxa"/>
              <w:start w:w="120" w:type="dxa"/>
              <w:bottom w:w="80" w:type="dxa"/>
              <w:end w:w="120" w:type="dxa"/>
            </w:tcMar>
            <w:vAlign w:val="center"/>
          </w:tcPr>
          <w:p>
            <w:r>
              <w:t>Ghi nhánh CallCenterEN Bronze/Silver/Gold rồi đồng bộ Gold sang BigQuery</w:t>
            </w:r>
          </w:p>
        </w:tc>
        <w:tc>
          <w:tcPr>
            <w:tcW w:type="dxa" w:w="2268"/>
            <w:tcMar>
              <w:top w:w="80" w:type="dxa"/>
              <w:start w:w="120" w:type="dxa"/>
              <w:bottom w:w="80" w:type="dxa"/>
              <w:end w:w="120" w:type="dxa"/>
            </w:tcMar>
            <w:vAlign w:val="center"/>
          </w:tcPr>
          <w:p>
            <w:r>
              <w:t>bq_sync_job.py loại BLOCKED_BIGQUERY_COLUMNS trước khi publish.</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3.7.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r>
        <w:t>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vw_callcenteren_labeled, vw_callcenteren_performance và vw_callcenteren_call_codes cũng được tạo với expiration hợp lệ trong sandbox.</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r/>
    </w:p>
    <w:p>
      <w:pPr>
        <w:pStyle w:val="Heading3"/>
        <w:keepNext/>
      </w:pPr>
      <w:r>
        <w:rPr>
          <w:rFonts w:ascii="Times New Roman" w:hAnsi="Times New Roman" w:eastAsia="Times New Roman"/>
        </w:rPr>
        <w:t>3.5.3. Superset và dashboard</w:t>
      </w:r>
    </w:p>
    <w:p>
      <w:pPr>
        <w:spacing w:line="324" w:lineRule="auto" w:after="120"/>
        <w:ind w:firstLine="432"/>
        <w:jc w:val="both"/>
      </w:pPr>
      <w: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3.8.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3.6.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r>
              <w:t>drop các cột trong BLOCKED_BIGQUERY_COLUMNS nếu tồn tại</w:t>
            </w:r>
          </w:p>
        </w:tc>
        <w:tc>
          <w:tcPr>
            <w:tcW w:type="dxa" w:w="2268"/>
            <w:tcMar>
              <w:top w:w="80" w:type="dxa"/>
              <w:start w:w="120" w:type="dxa"/>
              <w:bottom w:w="80" w:type="dxa"/>
              <w:end w:w="120" w:type="dxa"/>
            </w:tcMar>
            <w:vAlign w:val="center"/>
          </w:tcPr>
          <w:p>
            <w:r>
              <w:t>dim_customer publish không chứa full_name/address; fact publish không chứa transcript</w:t>
            </w:r>
          </w:p>
        </w:tc>
        <w:tc>
          <w:tcPr>
            <w:tcW w:type="dxa" w:w="2268"/>
            <w:tcMar>
              <w:top w:w="80" w:type="dxa"/>
              <w:start w:w="120" w:type="dxa"/>
              <w:bottom w:w="80" w:type="dxa"/>
              <w:end w:w="120" w:type="dxa"/>
            </w:tcMar>
            <w:vAlign w:val="center"/>
          </w:tcPr>
          <w:p>
            <w: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3.9.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t>Trong prototype, kịch bản backfill từ đầu có thể được thực hiện bằng cách xóa volume/MinIO và reset Docker stack theo hướng dẫn vận hành. Tuy nhiên trong production, replay cần có quy trình kiểm soát riêng, bao gồm snapshot version, offset management và audit log. Sự khác biệt này cho thấy cơ chế reset local chỉ phù hợp với kiểm thử, không phải phương thức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t>Minh chứng kiểm thử Debezium gồm trạng thái connector mongo-source và task RUNNING, kết hợp với danh sách Kafka topics tương ứng. Đây là bằng chứng quan trọng cho luồng CDC, vì nếu Debezium không chạy thì các tầng sau chỉ phản ánh batch ETL từ dữ liệu tĩnh,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t>Một tiêu chí quan trọng là raw_doc phải giữ document JSON đầy đủ. Nếu Bronze parse thiếu hoặc drop field, Silver sẽ không có đủ dữ liệu để tạo bảng typed. Minh chứng phù hợp là screenshot hoặc 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r>
              <w:t>wait_for_debezium_connector -&gt; primary_telesales.*.bronze -&gt; primary_telesales.*.silver -&gt; primary_telesales.gold.* -&gt; callcenteren_external.* -&gt; bq_sync_gold</w:t>
            </w:r>
          </w:p>
        </w:tc>
        <w:tc>
          <w:tcPr>
            <w:tcW w:type="dxa" w:w="3025"/>
            <w:tcMar>
              <w:top w:w="80" w:type="dxa"/>
              <w:start w:w="120" w:type="dxa"/>
              <w:bottom w:w="80" w:type="dxa"/>
              <w:end w:w="120" w:type="dxa"/>
            </w:tcMar>
            <w:vAlign w:val="center"/>
          </w:tcPr>
          <w:p>
            <w:r>
              <w:t>Luồng end-to-end có dependency rõ theo dataset và stage.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4.3.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r>
              <w:t>Minh chứng nghiệm thu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r>
              <w:t>Kết quả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r>
              <w:t>Kết quả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r>
              <w:t>Kết quả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r>
              <w:t>call_code là array do model sinh; không còn publish các cột nhãn legacy</w:t>
            </w:r>
          </w:p>
        </w:tc>
        <w:tc>
          <w:tcPr>
            <w:tcW w:type="dxa" w:w="3025"/>
            <w:tcMar>
              <w:top w:w="80" w:type="dxa"/>
              <w:start w:w="120" w:type="dxa"/>
              <w:bottom w:w="80" w:type="dxa"/>
              <w:end w:w="120" w:type="dxa"/>
            </w:tcMar>
            <w:vAlign w:val="center"/>
          </w:tcPr>
          <w:p>
            <w:r>
              <w:t>Query mẫu một transcript và nhãn model.</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r>
              <w:t>BigQuery dim_customer không có full_name/address khi BLOCKED_BIGQUERY_COLUMNS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r>
              <w:t>Màn hình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4.5.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4.6. Dashboard Superset/BI cho phân tích hiệu suất telesales</w:t>
      </w:r>
    </w:p>
    <w:p>
      <w:pPr>
        <w:pStyle w:val="ReportCaption"/>
      </w:pPr>
      <w:r>
        <w:t>Bảng 4.3.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r>
        <w:t>Bảng 4.4 tổng hợp lại kết quả sau khi đặt hai mô hình vào bối cảnh thực nghiệm. Kết luận lựa chọn không chỉ dựa trên F1 Micro, mà còn dựa trên Macro F1, Exact Match, khả năng hoàn tất full rebuild và chi phí phụ thuộc runtime trong môi trường CPU-only.</w:t>
      </w:r>
    </w:p>
    <w:p>
      <w:pPr>
        <w:pStyle w:val="ReportCaption"/>
      </w:pPr>
      <w:r>
        <w:t>Bảng 4.4. So sánh hậu thực nghiệm giữa BoW và RoBERTa để chọn mô hình production</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rPr>
                <w:b/>
              </w:rPr>
              <w:t>Tiêu chí</w:t>
            </w:r>
          </w:p>
        </w:tc>
        <w:tc>
          <w:tcPr>
            <w:tcW w:type="dxa" w:w="2401"/>
          </w:tcPr>
          <w:p>
            <w:r>
              <w:rPr>
                <w:b/>
              </w:rPr>
              <w:t>BoW + Logistic Regression</w:t>
            </w:r>
          </w:p>
        </w:tc>
        <w:tc>
          <w:tcPr>
            <w:tcW w:type="dxa" w:w="2401"/>
          </w:tcPr>
          <w:p>
            <w:r>
              <w:rPr>
                <w:b/>
              </w:rPr>
              <w:t>RoBERTa fine-tuned</w:t>
            </w:r>
          </w:p>
        </w:tc>
        <w:tc>
          <w:tcPr>
            <w:tcW w:type="dxa" w:w="2401"/>
          </w:tcPr>
          <w:p>
            <w:r>
              <w:rPr>
                <w:b/>
              </w:rPr>
              <w:t>Kết luận lựa chọn</w:t>
            </w:r>
          </w:p>
        </w:tc>
      </w:tr>
      <w:tr>
        <w:tc>
          <w:tcPr>
            <w:tcW w:type="dxa" w:w="2401"/>
          </w:tcPr>
          <w:p>
            <w:r>
              <w:t>Chất lượng offline trên test set</w:t>
            </w:r>
          </w:p>
        </w:tc>
        <w:tc>
          <w:tcPr>
            <w:tcW w:type="dxa" w:w="2401"/>
          </w:tcPr>
          <w:p>
            <w:r>
              <w:t>F1 Micro 70,16%; F1 Macro 62,08%; Exact Match 17,89%</w:t>
            </w:r>
          </w:p>
        </w:tc>
        <w:tc>
          <w:tcPr>
            <w:tcW w:type="dxa" w:w="2401"/>
          </w:tcPr>
          <w:p>
            <w:r>
              <w:t>F1 Micro 73,46%; F1 Macro 56,14%; Exact Match 17,71%</w:t>
            </w:r>
          </w:p>
        </w:tc>
        <w:tc>
          <w:tcPr>
            <w:tcW w:type="dxa" w:w="2401"/>
          </w:tcPr>
          <w:p>
            <w:r>
              <w:t>RoBERTa nhỉnh hơn F1 Micro, nhưng Macro F1 và Exact Match không tốt hơn BoW.</w:t>
            </w:r>
          </w:p>
        </w:tc>
      </w:tr>
      <w:tr>
        <w:tc>
          <w:tcPr>
            <w:tcW w:type="dxa" w:w="2401"/>
          </w:tcPr>
          <w:p>
            <w:r>
              <w:t>Thực nghiệm full rebuild Silver</w:t>
            </w:r>
          </w:p>
        </w:tc>
        <w:tc>
          <w:tcPr>
            <w:tcW w:type="dxa" w:w="2401"/>
          </w:tcPr>
          <w:p>
            <w:r>
              <w:t>Hoàn tất 23.447 call_logs trong khoảng 40 giây ở lần chạy BoW.</w:t>
            </w:r>
          </w:p>
        </w:tc>
        <w:tc>
          <w:tcPr>
            <w:tcW w:type="dxa" w:w="2401"/>
          </w:tcPr>
          <w:p>
            <w:r>
              <w:t>Các lần thử CPU-only bị treo/chậm kéo dài hoặc không hoàn tất Silver trong thời gian hợp lý.</w:t>
            </w:r>
          </w:p>
        </w:tc>
        <w:tc>
          <w:tcPr>
            <w:tcW w:type="dxa" w:w="2401"/>
          </w:tcPr>
          <w:p>
            <w:r>
              <w:t>BoW đáp ứng yêu cầu chạy lại pipeline end-to-end.</w:t>
            </w:r>
          </w:p>
        </w:tc>
      </w:tr>
      <w:tr>
        <w:tc>
          <w:tcPr>
            <w:tcW w:type="dxa" w:w="2401"/>
          </w:tcPr>
          <w:p>
            <w:r>
              <w:t>Phụ thuộc runtime</w:t>
            </w:r>
          </w:p>
        </w:tc>
        <w:tc>
          <w:tcPr>
            <w:tcW w:type="dxa" w:w="2401"/>
          </w:tcPr>
          <w:p>
            <w:r>
              <w:t>scikit-learn/joblib, artifact nhỏ, dễ đóng gói vào Spark/Airflow.</w:t>
            </w:r>
          </w:p>
        </w:tc>
        <w:tc>
          <w:tcPr>
            <w:tcW w:type="dxa" w:w="2401"/>
          </w:tcPr>
          <w:p>
            <w:r>
              <w:t>PyTorch, Transformers, checkpoint lớn và nhạy với cấu hình CPU/RAM.</w:t>
            </w:r>
          </w:p>
        </w:tc>
        <w:tc>
          <w:tcPr>
            <w:tcW w:type="dxa" w:w="2401"/>
          </w:tcPr>
          <w:p>
            <w:r>
              <w:t>BoW giảm rủi ro môi trường trong prototype Docker local.</w:t>
            </w:r>
          </w:p>
        </w:tc>
      </w:tr>
      <w:tr>
        <w:tc>
          <w:tcPr>
            <w:tcW w:type="dxa" w:w="2401"/>
          </w:tcPr>
          <w:p>
            <w:r>
              <w:t>Khả năng giải thích và debug</w:t>
            </w:r>
          </w:p>
        </w:tc>
        <w:tc>
          <w:tcPr>
            <w:tcW w:type="dxa" w:w="2401"/>
          </w:tcPr>
          <w:p>
            <w:r>
              <w:t>Trọng số n-gram/Logistic Regression dễ kiểm tra khi nhãn sai.</w:t>
            </w:r>
          </w:p>
        </w:tc>
        <w:tc>
          <w:tcPr>
            <w:tcW w:type="dxa" w:w="2401"/>
          </w:tcPr>
          <w:p>
            <w:r>
              <w:t>Biểu diễn ngữ cảnh sâu hơn nhưng khó giải thích ở mức token/ngram.</w:t>
            </w:r>
          </w:p>
        </w:tc>
        <w:tc>
          <w:tcPr>
            <w:tcW w:type="dxa" w:w="2401"/>
          </w:tcPr>
          <w:p>
            <w:r>
              <w:t>BoW phù hợp hơn với mục tiêu kiểm chứng Data Engineering.</w:t>
            </w:r>
          </w:p>
        </w:tc>
      </w:tr>
      <w:tr>
        <w:tc>
          <w:tcPr>
            <w:tcW w:type="dxa" w:w="2401"/>
          </w:tcPr>
          <w:p>
            <w:r>
              <w:t>Quyết định sau thực nghiệm</w:t>
            </w:r>
          </w:p>
        </w:tc>
        <w:tc>
          <w:tcPr>
            <w:tcW w:type="dxa" w:w="2401"/>
          </w:tcPr>
          <w:p>
            <w:r>
              <w:t>Chọn làm mô hình production cho nhánh AGI Telesales; CallCenterEN dùng một BoW/threshold model riêng cùng triết lý nhẹ và ổn định.</w:t>
            </w:r>
          </w:p>
        </w:tc>
        <w:tc>
          <w:tcPr>
            <w:tcW w:type="dxa" w:w="2401"/>
          </w:tcPr>
          <w:p>
            <w:r>
              <w:t>Giữ làm baseline học sâu và hướng nâng cấp khi có model serving/GPU.</w:t>
            </w:r>
          </w:p>
        </w:tc>
        <w:tc>
          <w:tcPr>
            <w:tcW w:type="dxa" w:w="2401"/>
          </w:tcPr>
          <w:p>
            <w:r>
              <w:t>Không chọn RoBERTa cho production path hiện tại.</w:t>
            </w:r>
          </w:p>
        </w:tc>
      </w:tr>
    </w:tbl>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dữ liệu tương đương</w:t>
      </w:r>
    </w:p>
    <w:p>
      <w:pPr/>
      <w:r>
        <w:t>Thực nghiệm CallCenterEN được chạy lại theo hướng nhánh dữ liệu thứ hai trong kiến trúc multi-source, thay vì chỉ xem như tập phụ trợ. Trước khi huấn luyện model riêng, model BoW đã huấn luyện trên nhánh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4.5.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Sau bảng hậu thực nghiệm BoW/RoBERTa, phần CallCenterEN được đánh giá tiếp ở mức multi-source. Bảng dưới đây không chỉ so sánh chỉ số trong cùng miền dữ liệu, mà còn cho thấy khi model của nhánh AGI Telesales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domain shift giữa hai nhánh dữ liệu tương đương và định vị hai model riêng, không thay thế một benchmark duy nhất được huấn luyện lại trên cùng một lần chạy.</w:t>
      </w:r>
    </w:p>
    <w:p>
      <w:pPr>
        <w:pStyle w:val="ReportCaption"/>
      </w:pPr>
      <w:r>
        <w:t>Bảng 4.6.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t>0,2527</w:t>
            </w:r>
          </w:p>
        </w:tc>
        <w:tc>
          <w:tcPr>
            <w:tcW w:type="dxa" w:w="1170"/>
          </w:tcPr>
          <w:p>
            <w:r>
              <w:t>0,7261</w:t>
            </w:r>
          </w:p>
        </w:tc>
        <w:tc>
          <w:tcPr>
            <w:tcW w:type="dxa" w:w="1170"/>
          </w:tcPr>
          <w:p>
            <w:r>
              <w:t>0,6407</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t>0,0004</w:t>
            </w:r>
          </w:p>
        </w:tc>
        <w:tc>
          <w:tcPr>
            <w:tcW w:type="dxa" w:w="1170"/>
          </w:tcPr>
          <w:p>
            <w:r>
              <w:t>0,3970</w:t>
            </w:r>
          </w:p>
        </w:tc>
        <w:tc>
          <w:tcPr>
            <w:tcW w:type="dxa" w:w="1170"/>
          </w:tcPr>
          <w:p>
            <w: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t>0,1412</w:t>
            </w:r>
          </w:p>
        </w:tc>
        <w:tc>
          <w:tcPr>
            <w:tcW w:type="dxa" w:w="1170"/>
          </w:tcPr>
          <w:p>
            <w:r>
              <w:t>0,7241</w:t>
            </w:r>
          </w:p>
        </w:tc>
        <w:tc>
          <w:tcPr>
            <w:tcW w:type="dxa" w:w="1170"/>
          </w:tcPr>
          <w:p>
            <w: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4.7.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1,732</w:t>
            </w:r>
          </w:p>
        </w:tc>
        <w:tc>
          <w:tcPr>
            <w:tcW w:type="dxa" w:w="1201"/>
          </w:tcPr>
          <w:p>
            <w:r>
              <w:t>0.2633</w:t>
            </w:r>
          </w:p>
        </w:tc>
        <w:tc>
          <w:tcPr>
            <w:tcW w:type="dxa" w:w="1201"/>
          </w:tcPr>
          <w:p>
            <w:r>
              <w:t>0.7309</w:t>
            </w:r>
          </w:p>
        </w:tc>
        <w:tc>
          <w:tcPr>
            <w:tcW w:type="dxa" w:w="1201"/>
          </w:tcPr>
          <w:p>
            <w:r>
              <w:t>0.6501</w:t>
            </w:r>
          </w:p>
        </w:tc>
        <w:tc>
          <w:tcPr>
            <w:tcW w:type="dxa" w:w="1201"/>
          </w:tcPr>
          <w:p>
            <w:r>
              <w:t>0.7326</w:t>
            </w:r>
          </w:p>
        </w:tc>
        <w:tc>
          <w:tcPr>
            <w:tcW w:type="dxa" w:w="1201"/>
          </w:tcPr>
          <w:p>
            <w:r>
              <w:t>0.0688</w:t>
            </w:r>
          </w:p>
        </w:tc>
      </w:tr>
      <w:tr>
        <w:tc>
          <w:tcPr>
            <w:tcW w:type="dxa" w:w="1201"/>
          </w:tcPr>
          <w:p>
            <w:r>
              <w:t>M4_combined_bow</w:t>
            </w:r>
          </w:p>
        </w:tc>
        <w:tc>
          <w:tcPr>
            <w:tcW w:type="dxa" w:w="1201"/>
          </w:tcPr>
          <w:p>
            <w:r>
              <w:t>15,455</w:t>
            </w:r>
          </w:p>
        </w:tc>
        <w:tc>
          <w:tcPr>
            <w:tcW w:type="dxa" w:w="1201"/>
          </w:tcPr>
          <w:p>
            <w:r>
              <w:t>1,732</w:t>
            </w:r>
          </w:p>
        </w:tc>
        <w:tc>
          <w:tcPr>
            <w:tcW w:type="dxa" w:w="1201"/>
          </w:tcPr>
          <w:p>
            <w:r>
              <w:t>0.2564</w:t>
            </w:r>
          </w:p>
        </w:tc>
        <w:tc>
          <w:tcPr>
            <w:tcW w:type="dxa" w:w="1201"/>
          </w:tcPr>
          <w:p>
            <w:r>
              <w:t>0.7283</w:t>
            </w:r>
          </w:p>
        </w:tc>
        <w:tc>
          <w:tcPr>
            <w:tcW w:type="dxa" w:w="1201"/>
          </w:tcPr>
          <w:p>
            <w:r>
              <w:t>0.6429</w:t>
            </w:r>
          </w:p>
        </w:tc>
        <w:tc>
          <w:tcPr>
            <w:tcW w:type="dxa" w:w="1201"/>
          </w:tcPr>
          <w:p>
            <w:r>
              <w:t>0.7304</w:t>
            </w:r>
          </w:p>
        </w:tc>
        <w:tc>
          <w:tcPr>
            <w:tcW w:type="dxa" w:w="1201"/>
          </w:tcPr>
          <w:p>
            <w:r>
              <w:t>0.0696</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1,733</w:t>
            </w:r>
          </w:p>
        </w:tc>
        <w:tc>
          <w:tcPr>
            <w:tcW w:type="dxa" w:w="1201"/>
          </w:tcPr>
          <w:p>
            <w:r>
              <w:t>0.2527</w:t>
            </w:r>
          </w:p>
        </w:tc>
        <w:tc>
          <w:tcPr>
            <w:tcW w:type="dxa" w:w="1201"/>
          </w:tcPr>
          <w:p>
            <w:r>
              <w:t>0.7261</w:t>
            </w:r>
          </w:p>
        </w:tc>
        <w:tc>
          <w:tcPr>
            <w:tcW w:type="dxa" w:w="1201"/>
          </w:tcPr>
          <w:p>
            <w:r>
              <w:t>0.6407</w:t>
            </w:r>
          </w:p>
        </w:tc>
        <w:tc>
          <w:tcPr>
            <w:tcW w:type="dxa" w:w="1201"/>
          </w:tcPr>
          <w:p>
            <w:r>
              <w:t>0.7267</w:t>
            </w:r>
          </w:p>
        </w:tc>
        <w:tc>
          <w:tcPr>
            <w:tcW w:type="dxa" w:w="1201"/>
          </w:tcPr>
          <w:p>
            <w:r>
              <w:t>0.0699</w:t>
            </w:r>
          </w:p>
        </w:tc>
      </w:tr>
      <w:tr>
        <w:tc>
          <w:tcPr>
            <w:tcW w:type="dxa" w:w="1201"/>
          </w:tcPr>
          <w:p>
            <w:r>
              <w:t>M4_combined_bow</w:t>
            </w:r>
          </w:p>
        </w:tc>
        <w:tc>
          <w:tcPr>
            <w:tcW w:type="dxa" w:w="1201"/>
          </w:tcPr>
          <w:p>
            <w:r>
              <w:t>15,455</w:t>
            </w:r>
          </w:p>
        </w:tc>
        <w:tc>
          <w:tcPr>
            <w:tcW w:type="dxa" w:w="1201"/>
          </w:tcPr>
          <w:p>
            <w:r>
              <w:t>1,733</w:t>
            </w:r>
          </w:p>
        </w:tc>
        <w:tc>
          <w:tcPr>
            <w:tcW w:type="dxa" w:w="1201"/>
          </w:tcPr>
          <w:p>
            <w:r>
              <w:t>0.2499</w:t>
            </w:r>
          </w:p>
        </w:tc>
        <w:tc>
          <w:tcPr>
            <w:tcW w:type="dxa" w:w="1201"/>
          </w:tcPr>
          <w:p>
            <w:r>
              <w:t>0.7238</w:t>
            </w:r>
          </w:p>
        </w:tc>
        <w:tc>
          <w:tcPr>
            <w:tcW w:type="dxa" w:w="1201"/>
          </w:tcPr>
          <w:p>
            <w:r>
              <w:t>0.6389</w:t>
            </w:r>
          </w:p>
        </w:tc>
        <w:tc>
          <w:tcPr>
            <w:tcW w:type="dxa" w:w="1201"/>
          </w:tcPr>
          <w:p>
            <w:r>
              <w:t>0.7249</w:t>
            </w:r>
          </w:p>
        </w:tc>
        <w:tc>
          <w:tcPr>
            <w:tcW w:type="dxa" w:w="1201"/>
          </w:tcPr>
          <w:p>
            <w:r>
              <w:t>0.0708</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3"/>
      </w:pPr>
      <w:r>
        <w:t>4.6.3. Kiểm thử luồng Airflow tách stage theo dataset</w:t>
      </w:r>
    </w:p>
    <w:p>
      <w:pPr/>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pPr/>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pPr/>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pPr/>
      <w:r>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pPr/>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pPr/>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r/>
    </w:p>
    <w:p>
      <w:pPr/>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pPr/>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pPr>
        <w:pStyle w:val="Heading3"/>
      </w:pPr>
      <w:r>
        <w:t>4.6.4. Kiểm thử full pipeline tuần tự ngày 26/06/2026</w:t>
      </w:r>
    </w:p>
    <w:p>
      <w:r>
        <w:t>Lần kiểm thử mới nhất được thực hiện với run id manual_clean_v7_20260626_091000. DAG telesales_lakehouse_pipeline chạy theo thứ tự tuần tự: wait_for_debezium_connector, các Bronze/Silver của nhánh AGI Telesales, Gold dim_customer -&gt; dim_offer -&gt; dim_date -&gt; fact_telesales_calls, sau đó chạy nhánh CallCenterEN Bronze -&gt; Silver -&gt; Gold và cuối cùng là bq_sync_gold. Thứ tự này là lựa chọn điều phối tài nguyên trong môi trường Docker local, không thể hiện quan hệ chính-phụ giữa hai nguồn dữ liệu.</w:t>
      </w:r>
    </w:p>
    <w:p>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 Trong lần chạy xác nhận cuối, bước đồng bộ BigQuery sử dụng DataFrame load API để tránh lỗi tạm thời dạng Storage Write stream NOT_FOUND khi ghi trực tiếp trong môi trường sandbox/local.</w:t>
      </w:r>
    </w:p>
    <w:p>
      <w:pPr>
        <w:pStyle w:val="ReportCaption"/>
      </w:pPr>
      <w:r>
        <w:t>Bảng 4.8. Kết quả kiểm thử full pipeline tuần tự ngày 26/06/2026</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tcPr>
          <w:p>
            <w:pPr>
              <w:spacing w:after="0"/>
            </w:pPr>
            <w:r>
              <w:rPr>
                <w:sz w:val="18"/>
              </w:rPr>
              <w:t>Nhóm kiểm thử</w:t>
            </w:r>
          </w:p>
        </w:tc>
        <w:tc>
          <w:tcPr>
            <w:tcW w:type="dxa" w:w="3202"/>
            <w:vAlign w:val="center"/>
          </w:tcPr>
          <w:p>
            <w:pPr>
              <w:spacing w:after="0"/>
            </w:pPr>
            <w:r>
              <w:rPr>
                <w:sz w:val="18"/>
              </w:rPr>
              <w:t>Kết quả xác nhận</w:t>
            </w:r>
          </w:p>
        </w:tc>
        <w:tc>
          <w:tcPr>
            <w:tcW w:type="dxa" w:w="3202"/>
            <w:vAlign w:val="center"/>
          </w:tcPr>
          <w:p>
            <w:pPr>
              <w:spacing w:after="0"/>
            </w:pPr>
            <w:r>
              <w:rPr>
                <w:sz w:val="18"/>
              </w:rPr>
              <w:t>Số dòng / trạng thái</w:t>
            </w:r>
          </w:p>
        </w:tc>
      </w:tr>
      <w:tr>
        <w:tc>
          <w:tcPr>
            <w:tcW w:type="dxa" w:w="3202"/>
            <w:vAlign w:val="center"/>
          </w:tcPr>
          <w:p>
            <w:pPr>
              <w:spacing w:after="0"/>
            </w:pPr>
            <w:r>
              <w:rPr>
                <w:sz w:val="18"/>
              </w:rPr>
              <w:t>Airflow DAG</w:t>
            </w:r>
          </w:p>
        </w:tc>
        <w:tc>
          <w:tcPr>
            <w:tcW w:type="dxa" w:w="3202"/>
            <w:vAlign w:val="center"/>
          </w:tcPr>
          <w:p>
            <w:pPr>
              <w:spacing w:after="0"/>
            </w:pPr>
            <w:r>
              <w:rPr>
                <w:sz w:val="18"/>
              </w:rPr>
              <w:t>Tất cả task chính success, BQ sync chạy sau Gold CallCenterEN</w:t>
            </w:r>
          </w:p>
        </w:tc>
        <w:tc>
          <w:tcPr>
            <w:tcW w:type="dxa" w:w="3202"/>
            <w:vAlign w:val="center"/>
          </w:tcPr>
          <w:p>
            <w:pPr>
              <w:spacing w:after="0"/>
            </w:pPr>
            <w:r>
              <w:rPr>
                <w:sz w:val="18"/>
              </w:rPr>
              <w:t>Success</w:t>
            </w:r>
          </w:p>
        </w:tc>
      </w:tr>
      <w:tr>
        <w:tc>
          <w:tcPr>
            <w:tcW w:type="dxa" w:w="3202"/>
            <w:vAlign w:val="center"/>
          </w:tcPr>
          <w:p>
            <w:pPr>
              <w:spacing w:after="0"/>
            </w:pPr>
            <w:r>
              <w:rPr>
                <w:sz w:val="18"/>
              </w:rPr>
              <w:t>Primary Gold</w:t>
            </w:r>
          </w:p>
        </w:tc>
        <w:tc>
          <w:tcPr>
            <w:tcW w:type="dxa" w:w="3202"/>
            <w:vAlign w:val="center"/>
          </w:tcPr>
          <w:p>
            <w:pPr>
              <w:spacing w:after="0"/>
            </w:pPr>
            <w:r>
              <w:rPr>
                <w:sz w:val="18"/>
              </w:rPr>
              <w:t>dim_customer, dim_offer, dim_date, fact_telesales_calls</w:t>
            </w:r>
          </w:p>
        </w:tc>
        <w:tc>
          <w:tcPr>
            <w:tcW w:type="dxa" w:w="3202"/>
            <w:vAlign w:val="center"/>
          </w:tcPr>
          <w:p>
            <w:pPr>
              <w:spacing w:after="0"/>
            </w:pPr>
            <w:r>
              <w:rPr>
                <w:sz w:val="18"/>
              </w:rPr>
              <w:t>4.344 / 5.072 / 2 / 23.447</w:t>
            </w:r>
          </w:p>
        </w:tc>
      </w:tr>
      <w:tr>
        <w:tc>
          <w:tcPr>
            <w:tcW w:type="dxa" w:w="3202"/>
            <w:vAlign w:val="center"/>
          </w:tcPr>
          <w:p>
            <w:pPr>
              <w:spacing w:after="0"/>
            </w:pPr>
            <w:r>
              <w:rPr>
                <w:sz w:val="18"/>
              </w:rPr>
              <w:t>CallCenterEN Silver</w:t>
            </w:r>
          </w:p>
        </w:tc>
        <w:tc>
          <w:tcPr>
            <w:tcW w:type="dxa" w:w="3202"/>
            <w:vAlign w:val="center"/>
          </w:tcPr>
          <w:p>
            <w:pPr>
              <w:spacing w:after="0"/>
            </w:pPr>
            <w:r>
              <w:rPr>
                <w:sz w:val="18"/>
              </w:rPr>
              <w:t>callcenteren_clean và callcenteren_labeled sau BoW inference</w:t>
            </w:r>
          </w:p>
        </w:tc>
        <w:tc>
          <w:tcPr>
            <w:tcW w:type="dxa" w:w="3202"/>
            <w:vAlign w:val="center"/>
          </w:tcPr>
          <w:p>
            <w:pPr>
              <w:spacing w:after="0"/>
            </w:pPr>
            <w:r>
              <w:rPr>
                <w:sz w:val="18"/>
              </w:rPr>
              <w:t>15.000 / 15.000</w:t>
            </w:r>
          </w:p>
        </w:tc>
      </w:tr>
      <w:tr>
        <w:tc>
          <w:tcPr>
            <w:tcW w:type="dxa" w:w="3202"/>
            <w:vAlign w:val="center"/>
          </w:tcPr>
          <w:p>
            <w:pPr>
              <w:spacing w:after="0"/>
            </w:pPr>
            <w:r>
              <w:rPr>
                <w:sz w:val="18"/>
              </w:rPr>
              <w:t>CallCenterEN Star Schema</w:t>
            </w:r>
          </w:p>
        </w:tc>
        <w:tc>
          <w:tcPr>
            <w:tcW w:type="dxa" w:w="3202"/>
            <w:vAlign w:val="center"/>
          </w:tcPr>
          <w:p>
            <w:pPr>
              <w:spacing w:after="0"/>
            </w:pPr>
            <w:r>
              <w:rPr>
                <w:sz w:val="18"/>
              </w:rPr>
              <w:t>source, model, call_code, fact và bridge multi-label</w:t>
            </w:r>
          </w:p>
        </w:tc>
        <w:tc>
          <w:tcPr>
            <w:tcW w:type="dxa" w:w="3202"/>
            <w:vAlign w:val="center"/>
          </w:tcPr>
          <w:p>
            <w:pPr>
              <w:spacing w:after="0"/>
            </w:pPr>
            <w:r>
              <w:rPr>
                <w:sz w:val="18"/>
              </w:rPr>
              <w:t>9 / 1 / 28 / 15.000 / 49.891</w:t>
            </w:r>
          </w:p>
        </w:tc>
      </w:tr>
      <w:tr>
        <w:tc>
          <w:tcPr>
            <w:tcW w:type="dxa" w:w="3202"/>
            <w:vAlign w:val="center"/>
          </w:tcPr>
          <w:p>
            <w:pPr>
              <w:spacing w:after="0"/>
            </w:pPr>
            <w:r>
              <w:rPr>
                <w:sz w:val="18"/>
              </w:rPr>
              <w:t>BigQuery tables</w:t>
            </w:r>
          </w:p>
        </w:tc>
        <w:tc>
          <w:tcPr>
            <w:tcW w:type="dxa" w:w="3202"/>
            <w:vAlign w:val="center"/>
          </w:tcPr>
          <w:p>
            <w:pPr>
              <w:spacing w:after="0"/>
            </w:pPr>
            <w:r>
              <w:rPr>
                <w:sz w:val="18"/>
              </w:rPr>
              <w:t>Các bảng primary, comparison và CallCenterEN được sync</w:t>
            </w:r>
          </w:p>
        </w:tc>
        <w:tc>
          <w:tcPr>
            <w:tcW w:type="dxa" w:w="3202"/>
            <w:vAlign w:val="center"/>
          </w:tcPr>
          <w:p>
            <w:pPr>
              <w:spacing w:after="0"/>
            </w:pPr>
            <w:r>
              <w:rPr>
                <w:sz w:val="18"/>
              </w:rPr>
              <w:t>14 bảng</w:t>
            </w:r>
          </w:p>
        </w:tc>
      </w:tr>
      <w:tr>
        <w:tc>
          <w:tcPr>
            <w:tcW w:type="dxa" w:w="3202"/>
            <w:vAlign w:val="center"/>
          </w:tcPr>
          <w:p>
            <w:pPr>
              <w:spacing w:after="0"/>
            </w:pPr>
            <w:r>
              <w:rPr>
                <w:sz w:val="18"/>
              </w:rPr>
              <w:t>BigQuery views</w:t>
            </w:r>
          </w:p>
        </w:tc>
        <w:tc>
          <w:tcPr>
            <w:tcW w:type="dxa" w:w="3202"/>
            <w:vAlign w:val="center"/>
          </w:tcPr>
          <w:p>
            <w:pPr>
              <w:spacing w:after="0"/>
            </w:pPr>
            <w:r>
              <w:rPr>
                <w:sz w:val="18"/>
              </w:rPr>
              <w:t>vw_telesales_performance và 3 view CallCenterEN đọc được dữ liệu</w:t>
            </w:r>
          </w:p>
        </w:tc>
        <w:tc>
          <w:tcPr>
            <w:tcW w:type="dxa" w:w="3202"/>
            <w:vAlign w:val="center"/>
          </w:tcPr>
          <w:p>
            <w:pPr>
              <w:spacing w:after="0"/>
            </w:pPr>
            <w:r>
              <w:rPr>
                <w:sz w:val="18"/>
              </w:rPr>
              <w:t>23.447 / 15.000 / 15.000 / 49.891</w:t>
            </w:r>
          </w:p>
        </w:tc>
      </w:tr>
    </w:tbl>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prototype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t>Tài liệu vận hành của đề tài đã chuẩn hóa các bước rebuild, kiểm thử container, kiểm tra connector, chạy Airflow DAG, tạo serving view và validate row count. Đây là đóng góp vận hành quan trọng vì một hệ thống dữ liệu không chỉ cần mã nguồn mà còn cần khả năng chạy lại. Các cập nhật trong README và PROJECT_REPORT_MEMORY cho thấy quá trình triển khai đã đi qua lỗi thật và đã được chuẩn hóa thành quy trình kiểm chứng.</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tổ chức AGI Telesales và CallCenterEN thành hai nhánh dữ liệu tương đương tạo ra đóng góp mới về thiết kế multi-source Lakehouse. Nhánh AGI Telesales chứng minh pipeline nghiệp vụ telesales tài chính với customer, offer, call_logs, mô hình BoW production và Star Schema phục vụ dashboard. Nhánh CallCenterEN chứng minh pipeline có thể tiếp nhận nguồn call-center bên ngoài với candidate dataset 15.000 dòng, split pseudo-label riêng, model call_code riêng và các bảng Bronze/Silver/Gold riêng. Điều này giúp kiến trúc thể hiện khả năng mở rộng sang nguồn dữ liệu ngoài mà không phá vỡ pipeline hiện có.</w:t>
      </w:r>
    </w:p>
    <w:p>
      <w:pPr/>
      <w:r>
        <w:t>Đóng góp thứ hai là bằng chứng thực nghiệm về domain shift. Model của nhánh AGI Telesales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hiện không còn dừng ở mức optional sync. Bản kiểm thử ngày 26/06/2026 đã xác nhận CallCenterEN đi đủ Bronze, Silver có BoW inference, Gold Star Schema và BigQuery tables/views. Hạn chế còn lại nằm ở môi trường BigQuery sandbox chưa bật billing, nên dataset và view phải đặt expiration dưới 60 ngày. Khi triển khai production, hướng xử lý là sử dụng project đã bật billing hoặc áp dụng policy TTL chính thức.</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Trong kiến trúc multi-source cuối cùng, AGI Telesales và CallCenterEN được tổ chức thành hai nhánh dữ liệu tương đương để kiểm chứng cả bài toán nghiệp vụ nội bộ và nguồn transcript call-center bên ngoài. Bản kiểm thử ngày 26/06/2026 bổ sung bằng chứng rằng nhánh CallCenterEN chạy cùng pattern Bronze/Silver/Gold, có Star Schema riêng và được đồng bộ tới BigQuery cùng các serving view.</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2"/>
      </w:pPr>
      <w:r>
        <w:t>Ghi chú phiên bản v10</w:t>
      </w:r>
    </w:p>
    <w:p>
      <w:r>
        <w:t>Phiên bản v10 kế thừa bản v9, bổ sung Lời cam đoan, Tóm tắt tiếng Việt, Abstract tiếng Anh và mở rộng mục 1.4 thành phần related work/gap analysis rõ hơn. Các chỉnh sửa này nhằm đưa báo cáo gần hơn với cấu trúc khóa luận tốt nghiệp theo mẫu học thuật, đồng thời giữ nguyên mạch hai nhánh dữ liệu tương đương cùng bảng so sánh hậu thực nghiệm giữa BoW và RoBERTa.</w:t>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 bằng model.</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khung minh chứng trung tính cho sơ đồ kiến trúc, screenshot vận hành, dashboard và kết quả truy vấn kiểm chứng. Nhóm khung minh chứng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