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r>
        <w:t>Hình 2.1. Quy trình sinh dữ liệu tổng hợp bằng Google Generative AI</w:t>
      </w:r>
    </w:p>
    <w:p>
      <w:pPr/>
      <w:r>
        <w:t>Hình 2.2. Schema master data của một bản ghi telesales trước chuẩn hóa</w:t>
      </w:r>
    </w:p>
    <w:p>
      <w:pPr/>
      <w:r>
        <w:t>Hình 2.3. Phân bố nhãn call_code trong bộ dữ liệu</w:t>
      </w:r>
    </w:p>
    <w:p>
      <w:pPr/>
      <w:r>
        <w:t>Hình 2.4. Luồng chuẩn hóa JSON thành customers, offers và calls</w:t>
      </w:r>
    </w:p>
    <w:p>
      <w:pPr/>
      <w:r>
        <w:t>Hình 2.5. So sánh BoW production model và RoBERTa baseline trong bài toán multi-label call_code</w:t>
      </w:r>
    </w:p>
    <w:p>
      <w:pPr/>
      <w:r>
        <w:t>Hình 2.6. Luồng BoW inference ghi call_code vào Silver</w:t>
      </w:r>
    </w:p>
    <w:p>
      <w:pPr/>
      <w:r>
        <w:t>Hình 3.1. Kiến trúc tổng thể Hybrid Data Lakehouse cho AGI Telesales</w:t>
      </w:r>
    </w:p>
    <w:p>
      <w:pPr/>
      <w:r>
        <w:t>Hình 3.2. Data lineage từ MongoDB đến BigQuery serving view</w:t>
      </w:r>
    </w:p>
    <w:p>
      <w:pPr/>
      <w:r>
        <w:t>Hình 3.3. Luồng CDC từ MongoDB qua Debezium và Kafka vào Bronze</w:t>
      </w:r>
    </w:p>
    <w:p>
      <w:pPr/>
      <w:r>
        <w:t>Hình 3.4. Sequence diagram CDC và batch ETL trong pipeline</w:t>
      </w:r>
    </w:p>
    <w:p>
      <w:pPr/>
      <w:r>
        <w:t>Hình 3.5. Medallion Architecture và trách nhiệm của từng tầng dữ liệu</w:t>
      </w:r>
    </w:p>
    <w:p>
      <w:pPr/>
      <w:r>
        <w:t>Hình 3.6. Star Schema của lớp Gold phục vụ BI</w:t>
      </w:r>
    </w:p>
    <w:p>
      <w:pPr/>
      <w:r>
        <w:t>Hình 3.7. Airflow DAG điều phối Bronze, Silver, Gold và BigQuery sync</w:t>
      </w:r>
    </w:p>
    <w:p>
      <w:pPr/>
      <w:r>
        <w:t>Hình 3.8. Kiểm thử PII masking trong bảng silver.cust</w:t>
      </w:r>
    </w:p>
    <w:p>
      <w:pPr/>
      <w:r>
        <w:t>Hình 3.9. Luồng kiểm soát PII từ nguồn đến serving layer</w:t>
      </w:r>
    </w:p>
    <w:p>
      <w:pPr/>
      <w:r>
        <w:t>Hình 4.1. Bản đồ container Docker Compose của hệ thống thực nghiệm</w:t>
      </w:r>
    </w:p>
    <w:p>
      <w:pPr/>
      <w:r>
        <w:t>Hình 4.2. Màn hình kiểm tra Debezium connector và Kafka topics</w:t>
      </w:r>
    </w:p>
    <w:p>
      <w:pPr/>
      <w:r>
        <w:t>Hình 4.3. Kiểm chứng row count giữa MongoDB, Iceberg Gold và BigQuery</w:t>
      </w:r>
    </w:p>
    <w:p>
      <w:pPr/>
      <w:r>
        <w:t>Hình 4.4. Luồng phục vụ dữ liệu từ Gold Iceberg sang BigQuery serving view</w:t>
      </w:r>
    </w:p>
    <w:p>
      <w:pPr/>
      <w:r>
        <w:t>Hình 4.5. Dashboard phân tích outcome, lead source và product performance</w:t>
      </w:r>
    </w:p>
    <w:p>
      <w:pPr/>
      <w:r>
        <w:t>Hình 4.6. Dashboard Superset/BI cho phân tích hiệu suất telesales</w:t>
      </w:r>
    </w:p>
    <w:p>
      <w:pPr/>
      <w:r>
        <w:t>Hình 5.1. Roadmap nâng cấp production cho Hybrid Lakehouse</w:t>
      </w:r>
    </w:p>
    <w:p>
      <w:pPr>
        <w:pStyle w:val="Heading1"/>
        <w:keepNext/>
      </w:pPr>
      <w:r>
        <w:rPr>
          <w:rFonts w:ascii="Times New Roman" w:hAnsi="Times New Roman" w:eastAsia="Times New Roman"/>
        </w:rPr>
        <w:t>DANH MỤC BẢNG</w:t>
      </w:r>
    </w:p>
    <w:p>
      <w:pPr/>
      <w:r>
        <w:t>Bảng 2.1. Các artifact dữ liệu chính trong đề tài</w:t>
      </w:r>
    </w:p>
    <w:p>
      <w:pPr/>
      <w:r>
        <w:t>Bảng 2.2. Tham số chính trong generate_data.ipynb</w:t>
      </w:r>
    </w:p>
    <w:p>
      <w:pPr/>
      <w:r>
        <w:t>Bảng 2.3. Nhóm trường trong schema master data sinh tổng hợp</w:t>
      </w:r>
    </w:p>
    <w:p>
      <w:pPr/>
      <w:r>
        <w:t>Bảng 2.4. Data dictionary rút gọn cho customers.csv</w:t>
      </w:r>
    </w:p>
    <w:p>
      <w:pPr/>
      <w:r>
        <w:t>Bảng 2.5. Data dictionary rút gọn cho offers.csv</w:t>
      </w:r>
    </w:p>
    <w:p>
      <w:pPr/>
      <w:r>
        <w:t>Bảng 2.6. Data dictionary rút gọn cho calls.csv</w:t>
      </w:r>
    </w:p>
    <w:p>
      <w:pPr/>
      <w:r>
        <w:t>Bảng 2.7. Taxonomy call_code trong prompt sinh dữ liệu</w:t>
      </w:r>
    </w:p>
    <w:p>
      <w:pPr/>
      <w:r>
        <w:t>Bảng 2.8. Một số tính chất thống kê của dữ liệu sau chuẩn hóa</w:t>
      </w:r>
    </w:p>
    <w:p>
      <w:pPr/>
      <w:r>
        <w:t>Bảng 2.9. Kết quả chuẩn bị split CallCenterEN sau pseudo-label</w:t>
      </w:r>
    </w:p>
    <w:p>
      <w:pPr/>
      <w:r>
        <w:t>Bảng 2.10. Đề xuất rule kiểm soát chất lượng dữ liệu sau generation</w:t>
      </w:r>
    </w:p>
    <w:p>
      <w:pPr/>
      <w:r>
        <w:t>Bảng 3.1. Thành phần công nghệ trong kiến trúc đề tài</w:t>
      </w:r>
    </w:p>
    <w:p>
      <w:pPr/>
      <w:r>
        <w:t>Bảng 3.2. Các quyết định kiến trúc chính và lý do lựa chọn</w:t>
      </w:r>
    </w:p>
    <w:p>
      <w:pPr/>
      <w:r>
        <w:t>Bảng 3.3. Trách nhiệm của từng tầng Medallion</w:t>
      </w:r>
    </w:p>
    <w:p>
      <w:pPr/>
      <w:r>
        <w:t>Bảng 3.4. Thiết kế Star Schema ở tầng Gold</w:t>
      </w:r>
    </w:p>
    <w:p>
      <w:pPr/>
      <w:r>
        <w:t>Bảng 3.5. Airflow DAG và dependency chính</w:t>
      </w:r>
    </w:p>
    <w:p>
      <w:pPr/>
      <w:r>
        <w:t>Bảng 3.6. Quy tắc che giấu dữ liệu cá nhân trong Silver</w:t>
      </w:r>
    </w:p>
    <w:p>
      <w:pPr/>
      <w:r>
        <w:t>Bảng 4.1. Kết quả kiểm thử dữ liệu và pipeline chính</w:t>
      </w:r>
    </w:p>
    <w:p>
      <w:pPr/>
      <w:r>
        <w:t>Bảng 4.2. Checklist nghiệm thu kỹ thuật cho pipeline</w:t>
      </w:r>
    </w:p>
    <w:p>
      <w:pPr/>
      <w:r>
        <w:t>Bảng 4.3. Định nghĩa KPI và biểu đồ dashboard</w:t>
      </w:r>
    </w:p>
    <w:p>
      <w:pPr/>
      <w:r>
        <w:t>Bảng 4.4. So sánh hậu thực nghiệm giữa BoW và RoBERTa để chọn mô hình production</w:t>
      </w:r>
    </w:p>
    <w:p>
      <w:pPr/>
      <w:r>
        <w:t>Bảng 4.5. Kết quả huấn luyện và tinh chỉnh model riêng cho CallCenterEN</w:t>
      </w:r>
    </w:p>
    <w:p>
      <w:pPr/>
      <w:r>
        <w:t>Bảng 4.6. So sánh trực quan hai mô hình theo nguồn dữ liệu</w:t>
      </w:r>
    </w:p>
    <w:p>
      <w:pPr/>
      <w:r>
        <w:t>Bảng 4.7. Kết quả ghi bảng Lakehouse cho nhánh CallCenterEN</w:t>
      </w:r>
    </w:p>
    <w:p>
      <w:pPr/>
      <w:r>
        <w:t>Bảng 4.8. Kết quả kiểm thử full pipeline tuần tự ngày 26/06/2026</w:t>
      </w:r>
    </w:p>
    <w:p>
      <w:pPr/>
      <w:r>
        <w:t>Bảng 5.1. Hạn chế và hướng xử lý đề xuất</w:t>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t>• Xây dựng hạ tầng dữ liệu end-to-end bằng Docker Compose, bao gồm MongoDB, Debezium, Kafka, MinIO, Spark, Iceberg, Airflow, Superset và dashboard minh họa.</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Thiết kế kiến trúc multi-source Lakehouse với hai nhánh dữ liệu tương đương: AGI Telesales và CallCenterEN. Mỗi nhánh có luồng Bronze/Silver/Gold, mô hình NLP hoặc model call_code phù hợp với miền dữ liệu, và lớp Gold/serving dùng để phân tích hoặc so sánh.</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minh họa.</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r>
              <w:t>lakehouse.silver.call_logs có call_code do mô hình sinh</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MinIO local được xem là môi trường mô phỏng kiến trúc, không phải bằng chứng về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trình diễn,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t>Do đó, CallCenterEN không chỉ là dữ liệu tham khảo ở mức mô tả. Nó tạo ra một cầu nối phương pháp luận: nhánh AGI Telesales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thực nghiệm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Trong kiến trúc cuối cùng, đề tài không xem CallCenterEN như phần phụ thêm sau dataset AGI Telesales, mà tổ chức hệ thống thành hai nhánh dữ liệu tương đương trong cùng Hybrid Data Lakehouse. Nhánh AGI Telesales đại diện cho bài toán nghiệp vụ telesales tài chính với customer, offer, call_logs, transcript và nhãn phục vụ mô hình NLP. Nhánh CallCenterEN đại diện cho nguồn transcript call-center thực tế bên ngoài, có metadata hội thoại và nhãn call_code riêng để kiểm chứng khả năng mở rộng multi-source.</w:t>
      </w:r>
    </w:p>
    <w:p>
      <w:r>
        <w:t>Việc đặt hai nhánh ngang hàng không có nghĩa là trộn lẫn schema hoặc dùng chung một mô hình cho mọi dữ liệu. Hai nguồn được xử lý độc lập, có split huấn luyện/kiểm thử riêng, có mô hình hoặc ngưỡng suy luận riêng, và chỉ gặp nhau ở tầng Gold/serving để so sánh profile dữ liệu, phân phối call_code và khác biệt miền dữ liệu.</w:t>
      </w:r>
    </w:p>
    <w:p>
      <w:r>
        <w:t>Sự tương đương ở đây là tương đương về vai trò kiến trúc và thực nghiệm, không phải giống hệt về schema nghiệp vụ. AGI Telesales có quan hệ customer-offer-call đầy đủ để phục vụ star schema nghiệp vụ; CallCenterEN tập trung vào transcript, domain, hướng cuộc gọi, thời lượng, ASR confidence, metadata PII và call_code do model riêng sinh ra. Vì vậy mỗi nhánh có schema phù hợp với bản chất nguồn dữ liệu nhưng được kiểm thử theo cùng nguyên tắc Medallion.</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sử dụng bản công bố công khai của CallCenterEN như nhánh dữ liệu thực nghiệm thứ hai của Lakehouse, đồng thời khai thác mô tả học thuật của dataset để giải thích domain shift, PII redaction và đặc trưng transcript call-center.</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callcenteren_15k_candidate</w:t>
            </w:r>
          </w:p>
        </w:tc>
        <w:tc>
          <w:tcPr>
            <w:tcW w:type="dxa" w:w="3202"/>
          </w:tcPr>
          <w:p>
            <w:r>
              <w:t>15,000</w:t>
            </w:r>
          </w:p>
        </w:tc>
        <w:tc>
          <w:tcPr>
            <w:tcW w:type="dxa" w:w="3202"/>
          </w:tcPr>
          <w:p>
            <w:r>
              <w:t>Nguồn chính cho nhánh CallCenterEN trong pipeline multi-source</w:t>
            </w:r>
          </w:p>
        </w:tc>
      </w:tr>
      <w:tr>
        <w:tc>
          <w:tcPr>
            <w:tcW w:type="dxa" w:w="3202"/>
          </w:tcPr>
          <w:p>
            <w:r>
              <w:t>pseudo_labels_gemini / callcenteren_labeled</w:t>
            </w:r>
          </w:p>
        </w:tc>
        <w:tc>
          <w:tcPr>
            <w:tcW w:type="dxa" w:w="3202"/>
          </w:tcPr>
          <w:p>
            <w:r>
              <w:t>2,420 / 2,260</w:t>
            </w:r>
          </w:p>
        </w:tc>
        <w:tc>
          <w:tcPr>
            <w:tcW w:type="dxa" w:w="3202"/>
          </w:tcPr>
          <w:p>
            <w:r>
              <w:t>Weak labels thô và tập hợp lệ sau merge/lọc, dùng để train/valid/test model riêng</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sentiment management hoặc satisfaction check. Những đặc trưng này được dùng để thiết kế dữ liệu AGI Telesales có cấu trúc hội thoại hợp lý, nhưng không làm mất vai trò độc lập của CallCenterEN trong thực nghiệm cuối cùng.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như một nhánh dữ liệu độc lập trong kiến trúc multi-source. Nhánh này có dữ liệu đầu vào, split, mô hình call_code, bảng Bronze/Silver/Gold, Star Schema và bảng so sánh riêng. Vai trò tham chiếu học thuật của CallCenterEN chỉ giúp giải thích đặc trưng dữ liệu; trong thực nghiệm, nó được đánh giá ngang cấp với nhánh AGI Telesales.</w:t>
      </w:r>
    </w:p>
    <w:p>
      <w:pPr>
        <w:pStyle w:val="Heading3"/>
      </w:pPr>
      <w:r>
        <w:t>2.1.5. Quan hệ thiết kế giữa hai nhánh dữ liệu</w:t>
      </w:r>
    </w:p>
    <w:p>
      <w:r>
        <w:t>Ở giai đoạn thiết kế ban đầu, việc phân tích CallCenterEN giúp nhận diện các đặc trưng thường gặp của dữ liệu call-center như cấu trúc hội thoại, PII, duration, hướng cuộc gọi và domain. Những quan sát này được dùng để định hình prompt và schema khi xây dựng nhánh AGI Telesales. Tuy nhiên, trong kiến trúc thực nghiệm cuối cùng, quan hệ này không còn là quan hệ chính-phụ: AGI Telesales và CallCenterEN được triển khai như hai nhánh dữ liệu song song.</w:t>
      </w:r>
    </w:p>
    <w:p>
      <w:r>
        <w:t>Trong bước phân tích nền, nghiên cứu sử dụng 3.000 mẫu CallCenterEN từ baseline_analysis_sample để quan sát đặc trưng hội thoại. Tập này không dùng để train trực tiếp cho model AGI Telesales. Về sau, CallCenterEN được xử lý bằng candidate dataset 15.000 dòng, split pseudo-label riêng và model call_code riêng để trở thành một nhánh thực nghiệm hoàn chỉnh.</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t>Từ bảng trên, prompt tạo dữ liệu cho nhánh AGI Telesales được thiết kế để bắt buộc transcript có cấu trúc hội thoại rõ ràng: mở đầu cuộc gọi, xác minh hoặc nhắc đến thông tin khách hàng, phân tích nhu cầu, giới thiệu sản phẩm/offer, thảo luận phí hoặc điều kiện và kết thúc bằng outcome. Đây là bước thiết kế dữ liệu cho nhánh AGI Telesales, không phải lý do để xem CallCenterEN là phần phụ trong kiến trúc multi-source.</w:t>
      </w:r>
    </w:p>
    <w:p>
      <w:r>
        <w:t>Như vậy, CallCenterEN vừa cung cấp kinh nghiệm thiết kế dữ liệu ở giai đoạn đầu, vừa được triển khai như một nguồn dữ liệu độc lập trong giai đoạn thực nghiệm. Cách viết này phản ánh đúng hai lớp quan hệ: quan hệ lịch sử trong thiết kế prompt và quan hệ ngang cấp trong kiến trúc multi-source cuối cùng.</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2.4.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r>
              <w:t>PII; khi sync BigQuery thì bị drop nếu BLOCKED_BIGQUERY_COLUMNS.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2.5.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2.6.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2.7.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2.8.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2.3.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t>2.3.5. So sánh hai nhánh dữ liệu AGI Telesales và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Nhánh dữ liệu AGI Telesales trong Lakehouse</w:t>
            </w:r>
          </w:p>
        </w:tc>
        <w:tc>
          <w:tcPr>
            <w:tcW w:type="dxa" w:w="3202"/>
          </w:tcPr>
          <w:p>
            <w:r>
              <w:t>Nhánh dữ liệu CallCenterEN trong Lakehouse</w:t>
            </w:r>
          </w:p>
        </w:tc>
      </w:tr>
      <w:tr>
        <w:tc>
          <w:tcPr>
            <w:tcW w:type="dxa" w:w="3202"/>
          </w:tcPr>
          <w:p>
            <w:r>
              <w:t>Số mẫu</w:t>
            </w:r>
          </w:p>
        </w:tc>
        <w:tc>
          <w:tcPr>
            <w:tcW w:type="dxa" w:w="3202"/>
          </w:tcPr>
          <w:p>
            <w:r>
              <w:t>23,447</w:t>
            </w:r>
          </w:p>
        </w:tc>
        <w:tc>
          <w:tcPr>
            <w:tcW w:type="dxa" w:w="3202"/>
          </w:tcPr>
          <w:p>
            <w:r>
              <w:t>15,000 candidate; 2,260 labeled split</w:t>
            </w:r>
          </w:p>
        </w:tc>
      </w:tr>
      <w:tr>
        <w:tc>
          <w:tcPr>
            <w:tcW w:type="dxa" w:w="3202"/>
          </w:tcPr>
          <w:p>
            <w:r>
              <w:t>Độ dài transcript trung bình</w:t>
            </w:r>
          </w:p>
        </w:tc>
        <w:tc>
          <w:tcPr>
            <w:tcW w:type="dxa" w:w="3202"/>
          </w:tcPr>
          <w:p>
            <w:r>
              <w:t>897.2545</w:t>
            </w:r>
          </w:p>
        </w:tc>
        <w:tc>
          <w:tcPr>
            <w:tcW w:type="dxa" w:w="3202"/>
          </w:tcPr>
          <w:p>
            <w:r>
              <w:t>3746.2027</w:t>
            </w:r>
          </w:p>
        </w:tc>
      </w:tr>
      <w:tr>
        <w:tc>
          <w:tcPr>
            <w:tcW w:type="dxa" w:w="3202"/>
          </w:tcPr>
          <w:p>
            <w:r>
              <w:t>Số từ trung bình</w:t>
            </w:r>
          </w:p>
        </w:tc>
        <w:tc>
          <w:tcPr>
            <w:tcW w:type="dxa" w:w="3202"/>
          </w:tcPr>
          <w:p>
            <w:r>
              <w:t>151.0447</w:t>
            </w:r>
          </w:p>
        </w:tc>
        <w:tc>
          <w:tcPr>
            <w:tcW w:type="dxa" w:w="3202"/>
          </w:tcPr>
          <w:p>
            <w:r>
              <w:t>639.8362</w:t>
            </w:r>
          </w:p>
        </w:tc>
      </w:tr>
      <w:tr>
        <w:tc>
          <w:tcPr>
            <w:tcW w:type="dxa" w:w="3202"/>
          </w:tcPr>
          <w:p>
            <w:r>
              <w:t>Thời lượng trung bình</w:t>
            </w:r>
          </w:p>
        </w:tc>
        <w:tc>
          <w:tcPr>
            <w:tcW w:type="dxa" w:w="3202"/>
          </w:tcPr>
          <w:p>
            <w:r>
              <w:t>272.8059</w:t>
            </w:r>
          </w:p>
        </w:tc>
        <w:tc>
          <w:tcPr>
            <w:tcW w:type="dxa" w:w="3202"/>
          </w:tcPr>
          <w:p>
            <w:r>
              <w:t>349.5284</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0.9128</w:t>
            </w:r>
          </w:p>
        </w:tc>
      </w:tr>
      <w:tr>
        <w:tc>
          <w:tcPr>
            <w:tcW w:type="dxa" w:w="3202"/>
          </w:tcPr>
          <w:p>
            <w:r>
              <w:t>PII redaction/masking</w:t>
            </w:r>
          </w:p>
        </w:tc>
        <w:tc>
          <w:tcPr>
            <w:tcW w:type="dxa" w:w="3202"/>
          </w:tcPr>
          <w:p>
            <w:r>
              <w:t>Masking ở Silver</w:t>
            </w:r>
          </w:p>
        </w:tc>
        <w:tc>
          <w:tcPr>
            <w:tcW w:type="dxa" w:w="3202"/>
          </w:tcPr>
          <w:p>
            <w:r>
              <w:t>Trung bình 55.5125 token PII/mẫu</w:t>
            </w:r>
          </w:p>
        </w:tc>
      </w:tr>
    </w:tbl>
    <w:p/>
    <w:p>
      <w:r>
        <w:t>Bảng so sánh cho thấy hai nguồn dữ liệu có vai trò ngang cấp trong cùng kiến trúc multi-source nhưng khác nhau về bản chất dữ liệu. AGI Telesales phù hợp với phân tích nghiệp vụ telesales tài chính nhờ quan hệ customer-offer-call; CallCenterEN phù hợp với kiểm chứng transcript call-center thực tế, domain đa dạng và metadata PII. Vì vậy báo cáo không xem CallCenterEN là phần bổ sung, mà xem đây là nhánh dữ liệu thứ hai để đánh giá khả năng mở rộng của Lakehouse.</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2.4.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2.9.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nhánh AGI Telesales,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Đọc JSON trực tiếp từ ZIP</w:t>
            </w:r>
          </w:p>
        </w:tc>
        <w:tc>
          <w:tcPr>
            <w:tcW w:type="dxa" w:w="3202"/>
          </w:tcPr>
          <w:p>
            <w:r>
              <w:t>Không giải nén toàn bộ dataset gốc</w:t>
            </w:r>
          </w:p>
        </w:tc>
        <w:tc>
          <w:tcPr>
            <w:tcW w:type="dxa" w:w="3202"/>
          </w:tcPr>
          <w:p>
            <w:r>
              <w:t>Bỏ __MACOSX, giữ source_zip/source_entry/source_domain</w:t>
            </w:r>
          </w:p>
        </w:tc>
      </w:tr>
      <w:tr>
        <w:tc>
          <w:tcPr>
            <w:tcW w:type="dxa" w:w="3202"/>
          </w:tcPr>
          <w:p>
            <w:r>
              <w:t>Lọc chất lượng transcript</w:t>
            </w:r>
          </w:p>
        </w:tc>
        <w:tc>
          <w:tcPr>
            <w:tcW w:type="dxa" w:w="3202"/>
          </w:tcPr>
          <w:p>
            <w:r>
              <w:t>Giữ mẫu đủ dài và confidence tốt</w:t>
            </w:r>
          </w:p>
        </w:tc>
        <w:tc>
          <w:tcPr>
            <w:tcW w:type="dxa" w:w="3202"/>
          </w:tcPr>
          <w:p>
            <w:r>
              <w:t>15,000 candidate; confidence trung bình 0.9128</w:t>
            </w:r>
          </w:p>
        </w:tc>
      </w:tr>
      <w:tr>
        <w:tc>
          <w:tcPr>
            <w:tcW w:type="dxa" w:w="3202"/>
          </w:tcPr>
          <w:p>
            <w:r>
              <w:t>Deduplicate</w:t>
            </w:r>
          </w:p>
        </w:tc>
        <w:tc>
          <w:tcPr>
            <w:tcW w:type="dxa" w:w="3202"/>
          </w:tcPr>
          <w:p>
            <w:r>
              <w:t>Loại transcript trùng theo normalized text</w:t>
            </w:r>
          </w:p>
        </w:tc>
        <w:tc>
          <w:tcPr>
            <w:tcW w:type="dxa" w:w="3202"/>
          </w:tcPr>
          <w:p>
            <w:r>
              <w:t>text_hash dùng làm khóa split deterministic</w:t>
            </w:r>
          </w:p>
        </w:tc>
      </w:tr>
      <w:tr>
        <w:tc>
          <w:tcPr>
            <w:tcW w:type="dxa" w:w="3202"/>
          </w:tcPr>
          <w:p>
            <w:r>
              <w:t>Tạo baseline sample</w:t>
            </w:r>
          </w:p>
        </w:tc>
        <w:tc>
          <w:tcPr>
            <w:tcW w:type="dxa" w:w="3202"/>
          </w:tcPr>
          <w:p>
            <w:r>
              <w:t>Phân tích cơ sở dữ liệu tham chiếu</w:t>
            </w:r>
          </w:p>
        </w:tc>
        <w:tc>
          <w:tcPr>
            <w:tcW w:type="dxa" w:w="3202"/>
          </w:tcPr>
          <w:p>
            <w:r>
              <w:t>3,000 mẫu phục vụ phân tích prompt/schema</w:t>
            </w:r>
          </w:p>
        </w:tc>
      </w:tr>
      <w:tr>
        <w:tc>
          <w:tcPr>
            <w:tcW w:type="dxa" w:w="3202"/>
          </w:tcPr>
          <w:p>
            <w:r>
              <w:t>Pseudo-labeling và split</w:t>
            </w:r>
          </w:p>
        </w:tc>
        <w:tc>
          <w:tcPr>
            <w:tcW w:type="dxa" w:w="3202"/>
          </w:tcPr>
          <w:p>
            <w:r>
              <w:t>Gán weak label theo bộ call_code của đề tài</w:t>
            </w:r>
          </w:p>
        </w:tc>
        <w:tc>
          <w:tcPr>
            <w:tcW w:type="dxa" w:w="3202"/>
          </w:tcPr>
          <w:p>
            <w:r>
              <w:t>2,420 pseudo-label; 2,260 dòng hợp lệ, train/valid/test = 1,598/315/347</w:t>
            </w:r>
          </w:p>
        </w:tc>
      </w:tr>
      <w:tr>
        <w:tc>
          <w:tcPr>
            <w:tcW w:type="dxa" w:w="3202"/>
          </w:tcPr>
          <w:p>
            <w:r>
              <w:t>Inference model riêng</w:t>
            </w:r>
          </w:p>
        </w:tc>
        <w:tc>
          <w:tcPr>
            <w:tcW w:type="dxa" w:w="3202"/>
          </w:tcPr>
          <w:p>
            <w:r>
              <w:t>Áp dụng model CallCenterEN đã tinh chỉnh cho toàn bộ candidate</w:t>
            </w:r>
          </w:p>
        </w:tc>
        <w:tc>
          <w:tcPr>
            <w:tcW w:type="dxa" w:w="3202"/>
          </w:tcPr>
          <w:p>
            <w:r>
              <w:t>callcenteren_15k_with_model_callcodes.csv có 15,000 dòng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2.5.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2.6.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nhánh AGI Telesales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BoW production cho pipeline Silver chính</w:t>
            </w:r>
          </w:p>
        </w:tc>
      </w:tr>
      <w:tr>
        <w:tc>
          <w:tcPr>
            <w:tcW w:type="dxa" w:w="2401"/>
          </w:tcPr>
          <w:p>
            <w:r>
              <w:t>M1</w:t>
            </w:r>
          </w:p>
        </w:tc>
        <w:tc>
          <w:tcPr>
            <w:tcW w:type="dxa" w:w="2401"/>
          </w:tcPr>
          <w:p>
            <w:r>
              <w:t>Dataset chính</w:t>
            </w:r>
          </w:p>
        </w:tc>
        <w:tc>
          <w:tcPr>
            <w:tcW w:type="dxa" w:w="2401"/>
          </w:tcPr>
          <w:p>
            <w:r>
              <w:t>CallCenterEN labeled split</w:t>
            </w:r>
          </w:p>
        </w:tc>
        <w:tc>
          <w:tcPr>
            <w:tcW w:type="dxa" w:w="2401"/>
          </w:tcPr>
          <w:p>
            <w:r>
              <w:t>Đo domain shift khi model chính đánh chéo sang CallCenterEN</w:t>
            </w:r>
          </w:p>
        </w:tc>
      </w:tr>
      <w:tr>
        <w:tc>
          <w:tcPr>
            <w:tcW w:type="dxa" w:w="2401"/>
          </w:tcPr>
          <w:p>
            <w:r>
              <w:t>M2 / CallCenterEN riêng</w:t>
            </w:r>
          </w:p>
        </w:tc>
        <w:tc>
          <w:tcPr>
            <w:tcW w:type="dxa" w:w="2401"/>
          </w:tcPr>
          <w:p>
            <w:r>
              <w:t>CallCenterEN train/valid</w:t>
            </w:r>
          </w:p>
        </w:tc>
        <w:tc>
          <w:tcPr>
            <w:tcW w:type="dxa" w:w="2401"/>
          </w:tcPr>
          <w:p>
            <w:r>
              <w:t>CallCenterEN test</w:t>
            </w:r>
          </w:p>
        </w:tc>
        <w:tc>
          <w:tcPr>
            <w:tcW w:type="dxa" w:w="2401"/>
          </w:tcPr>
          <w:p>
            <w:r>
              <w:t>Huấn luyện/tinh chỉnh threshold cho model riêng của nhánh external</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t>Hệ thống cũng cần chạy được cục bộ bằng Docker Compose để phục vụ trình diễn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t>Tuy vậy, Docker Compose không phải mô hình production đầy đủ. Kafka chỉ có một broker, Spark chỉ có một worker, MinIO chạy local và credentials thử nghiệm còn đơn giản. Trong phạm vi đồ án, môi trường này được xác định là prototype phục vụ chứng minh kiến trúc. Khi triển khai thực tế, hệ thống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3.2.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3.3.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3.4.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3.5.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3.6.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t>Airflow DAG telesales_lakehouse_pipeline điều phối pipeline theo mô hình staged task group: wait_for_debezium_connector đứng đầu, sau đó là các task 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r>
              <w:t>wait_for_debezium_connector</w:t>
            </w:r>
          </w:p>
        </w:tc>
        <w:tc>
          <w:tcPr>
            <w:tcW w:type="dxa" w:w="2268"/>
            <w:tcMar>
              <w:top w:w="80" w:type="dxa"/>
              <w:start w:w="120" w:type="dxa"/>
              <w:bottom w:w="80" w:type="dxa"/>
              <w:end w:w="120" w:type="dxa"/>
            </w:tcMar>
            <w:vAlign w:val="center"/>
          </w:tcPr>
          <w:p>
            <w:r>
              <w:t>PythonSensor</w:t>
            </w:r>
          </w:p>
        </w:tc>
        <w:tc>
          <w:tcPr>
            <w:tcW w:type="dxa" w:w="2268"/>
            <w:tcMar>
              <w:top w:w="80" w:type="dxa"/>
              <w:start w:w="120" w:type="dxa"/>
              <w:bottom w:w="80" w:type="dxa"/>
              <w:end w:w="120" w:type="dxa"/>
            </w:tcMar>
            <w:vAlign w:val="center"/>
          </w:tcPr>
          <w:p>
            <w:r>
              <w:t>Chờ connector mongo-source và task Debezium RUNNING</w:t>
            </w:r>
          </w:p>
        </w:tc>
        <w:tc>
          <w:tcPr>
            <w:tcW w:type="dxa" w:w="2268"/>
            <w:tcMar>
              <w:top w:w="80" w:type="dxa"/>
              <w:start w:w="120" w:type="dxa"/>
              <w:bottom w:w="80" w:type="dxa"/>
              <w:end w:w="120" w:type="dxa"/>
            </w:tcMar>
            <w:vAlign w:val="center"/>
          </w:tcPr>
          <w:p>
            <w:r>
              <w:t>Timeout 300 giây, reschedule mode.</w:t>
            </w:r>
          </w:p>
        </w:tc>
      </w:tr>
      <w:tr>
        <w:tc>
          <w:tcPr>
            <w:tcW w:type="dxa" w:w="2268"/>
            <w:tcMar>
              <w:top w:w="80" w:type="dxa"/>
              <w:start w:w="120" w:type="dxa"/>
              <w:bottom w:w="80" w:type="dxa"/>
              <w:end w:w="120" w:type="dxa"/>
            </w:tcMar>
            <w:vAlign w:val="center"/>
          </w:tcPr>
          <w:p>
            <w:r>
              <w:t>primary_telesales.*.bronze</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bronze_job.py riêng cho cust_dataset, offer_dataset và call_logs_dataset</w:t>
            </w:r>
          </w:p>
        </w:tc>
        <w:tc>
          <w:tcPr>
            <w:tcW w:type="dxa" w:w="2268"/>
            <w:tcMar>
              <w:top w:w="80" w:type="dxa"/>
              <w:start w:w="120" w:type="dxa"/>
              <w:bottom w:w="80" w:type="dxa"/>
              <w:end w:w="120" w:type="dxa"/>
            </w:tcMar>
            <w:vAlign w:val="center"/>
          </w:tcPr>
          <w:p>
            <w:r>
              <w:t>TRIGGER_ONCE=true để task streaming kết thúc được trong Airflow.</w:t>
            </w:r>
          </w:p>
        </w:tc>
      </w:tr>
      <w:tr>
        <w:tc>
          <w:tcPr>
            <w:tcW w:type="dxa" w:w="2268"/>
            <w:tcMar>
              <w:top w:w="80" w:type="dxa"/>
              <w:start w:w="120" w:type="dxa"/>
              <w:bottom w:w="80" w:type="dxa"/>
              <w:end w:w="120" w:type="dxa"/>
            </w:tcMar>
            <w:vAlign w:val="center"/>
          </w:tcPr>
          <w:p>
            <w:r>
              <w:t>primary_telesales.*.silver</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silver_job.py riêng theo entity; call_logs thực hiện mask PII, dedup và BoW inference</w:t>
            </w:r>
          </w:p>
        </w:tc>
        <w:tc>
          <w:tcPr>
            <w:tcW w:type="dxa" w:w="2268"/>
            <w:tcMar>
              <w:top w:w="80" w:type="dxa"/>
              <w:start w:w="120" w:type="dxa"/>
              <w:bottom w:w="80" w:type="dxa"/>
              <w:end w:w="120" w:type="dxa"/>
            </w:tcMar>
            <w:vAlign w:val="center"/>
          </w:tcPr>
          <w:p>
            <w:r>
              <w:t>Airflow truyền NLP_MODEL_TYPE=bow; RoBERTa là baseline/thí nghiệm tùy chọn.</w:t>
            </w:r>
          </w:p>
        </w:tc>
      </w:tr>
      <w:tr>
        <w:tc>
          <w:tcPr>
            <w:tcW w:type="dxa" w:w="2268"/>
            <w:tcMar>
              <w:top w:w="80" w:type="dxa"/>
              <w:start w:w="120" w:type="dxa"/>
              <w:bottom w:w="80" w:type="dxa"/>
              <w:end w:w="120" w:type="dxa"/>
            </w:tcMar>
            <w:vAlign w:val="center"/>
          </w:tcPr>
          <w:p>
            <w:r>
              <w:t>primary_telesales.gold.*</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Tạo dim_customer, dim_offer, dim_date và fact_telesales_calls</w:t>
            </w:r>
          </w:p>
        </w:tc>
        <w:tc>
          <w:tcPr>
            <w:tcW w:type="dxa" w:w="2268"/>
            <w:tcMar>
              <w:top w:w="80" w:type="dxa"/>
              <w:start w:w="120" w:type="dxa"/>
              <w:bottom w:w="80" w:type="dxa"/>
              <w:end w:w="120" w:type="dxa"/>
            </w:tcMar>
            <w:vAlign w:val="center"/>
          </w:tcPr>
          <w:p>
            <w:r>
              <w:t>Ghi bằng MERGE INTO Iceberg và giữ call_code làm nhãn phân tích.</w:t>
            </w:r>
          </w:p>
        </w:tc>
      </w:tr>
      <w:tr>
        <w:tc>
          <w:tcPr>
            <w:tcW w:type="dxa" w:w="2268"/>
            <w:tcMar>
              <w:top w:w="80" w:type="dxa"/>
              <w:start w:w="120" w:type="dxa"/>
              <w:bottom w:w="80" w:type="dxa"/>
              <w:end w:w="120" w:type="dxa"/>
            </w:tcMar>
            <w:vAlign w:val="center"/>
          </w:tcPr>
          <w:p>
            <w:r>
              <w:t>callcenteren_external.* / bq_sync_gold</w:t>
            </w:r>
          </w:p>
        </w:tc>
        <w:tc>
          <w:tcPr>
            <w:tcW w:type="dxa" w:w="2268"/>
            <w:tcMar>
              <w:top w:w="80" w:type="dxa"/>
              <w:start w:w="120" w:type="dxa"/>
              <w:bottom w:w="80" w:type="dxa"/>
              <w:end w:w="120" w:type="dxa"/>
            </w:tcMar>
            <w:vAlign w:val="center"/>
          </w:tcPr>
          <w:p>
            <w:r>
              <w:t>SparkSubmitOperator / BashOperator</w:t>
            </w:r>
          </w:p>
        </w:tc>
        <w:tc>
          <w:tcPr>
            <w:tcW w:type="dxa" w:w="2268"/>
            <w:tcMar>
              <w:top w:w="80" w:type="dxa"/>
              <w:start w:w="120" w:type="dxa"/>
              <w:bottom w:w="80" w:type="dxa"/>
              <w:end w:w="120" w:type="dxa"/>
            </w:tcMar>
            <w:vAlign w:val="center"/>
          </w:tcPr>
          <w:p>
            <w:r>
              <w:t>Ghi nhánh CallCenterEN Bronze/Silver/Gold rồi đồng bộ Gold sang BigQuery</w:t>
            </w:r>
          </w:p>
        </w:tc>
        <w:tc>
          <w:tcPr>
            <w:tcW w:type="dxa" w:w="2268"/>
            <w:tcMar>
              <w:top w:w="80" w:type="dxa"/>
              <w:start w:w="120" w:type="dxa"/>
              <w:bottom w:w="80" w:type="dxa"/>
              <w:end w:w="120" w:type="dxa"/>
            </w:tcMar>
            <w:vAlign w:val="center"/>
          </w:tcPr>
          <w:p>
            <w:r>
              <w:t>bq_sync_job.py loại BLOCKED_BIGQUERY_COLUMNS trước khi publish.</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3.7.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r>
        <w:t>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vw_callcenteren_labeled, vw_callcenteren_performance và vw_callcenteren_call_codes cũng được tạo với expiration hợp lệ trong sandbox.</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r/>
    </w:p>
    <w:p>
      <w:pPr>
        <w:pStyle w:val="Heading3"/>
        <w:keepNext/>
      </w:pPr>
      <w:r>
        <w:rPr>
          <w:rFonts w:ascii="Times New Roman" w:hAnsi="Times New Roman" w:eastAsia="Times New Roman"/>
        </w:rPr>
        <w:t>3.5.3. Superset và dashboard</w:t>
      </w:r>
    </w:p>
    <w:p>
      <w:pPr>
        <w:spacing w:line="324" w:lineRule="auto" w:after="120"/>
        <w:ind w:firstLine="432"/>
        <w:jc w:val="both"/>
      </w:pPr>
      <w: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3.8.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3.6.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r>
              <w:t>drop các cột trong BLOCKED_BIGQUERY_COLUMNS nếu tồn tại</w:t>
            </w:r>
          </w:p>
        </w:tc>
        <w:tc>
          <w:tcPr>
            <w:tcW w:type="dxa" w:w="2268"/>
            <w:tcMar>
              <w:top w:w="80" w:type="dxa"/>
              <w:start w:w="120" w:type="dxa"/>
              <w:bottom w:w="80" w:type="dxa"/>
              <w:end w:w="120" w:type="dxa"/>
            </w:tcMar>
            <w:vAlign w:val="center"/>
          </w:tcPr>
          <w:p>
            <w:r>
              <w:t>dim_customer publish không chứa full_name/address; fact publish không chứa transcript</w:t>
            </w:r>
          </w:p>
        </w:tc>
        <w:tc>
          <w:tcPr>
            <w:tcW w:type="dxa" w:w="2268"/>
            <w:tcMar>
              <w:top w:w="80" w:type="dxa"/>
              <w:start w:w="120" w:type="dxa"/>
              <w:bottom w:w="80" w:type="dxa"/>
              <w:end w:w="120" w:type="dxa"/>
            </w:tcMar>
            <w:vAlign w:val="center"/>
          </w:tcPr>
          <w:p>
            <w: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3.9.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t>Trong prototype, kịch bản backfill từ đầu có thể được thực hiện bằng cách xóa volume/MinIO và reset Docker stack theo hướng dẫn vận hành. Tuy nhiên trong production, replay cần có quy trình kiểm soát riêng, bao gồm snapshot version, offset management và audit log. Sự khác biệt này cho thấy cơ chế reset local chỉ phù hợp với kiểm thử, không phải phương thức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t>Minh chứng kiểm thử Debezium gồm trạng thái connector mongo-source và task RUNNING, kết hợp với danh sách Kafka topics tương ứng. Đây là bằng chứng quan trọng cho luồng CDC, vì nếu Debezium không chạy thì các tầng sau chỉ phản ánh batch ETL từ dữ liệu tĩnh,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t>Một tiêu chí quan trọng là raw_doc phải giữ document JSON đầy đủ. Nếu Bronze parse thiếu hoặc drop field, Silver sẽ không có đủ dữ liệu để tạo bảng typed. Minh chứng phù hợp là screenshot hoặc 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r>
              <w:t>wait_for_debezium_connector -&gt; primary_telesales.*.bronze -&gt; primary_telesales.*.silver -&gt; primary_telesales.gold.* -&gt; callcenteren_external.* -&gt; bq_sync_gold</w:t>
            </w:r>
          </w:p>
        </w:tc>
        <w:tc>
          <w:tcPr>
            <w:tcW w:type="dxa" w:w="3025"/>
            <w:tcMar>
              <w:top w:w="80" w:type="dxa"/>
              <w:start w:w="120" w:type="dxa"/>
              <w:bottom w:w="80" w:type="dxa"/>
              <w:end w:w="120" w:type="dxa"/>
            </w:tcMar>
            <w:vAlign w:val="center"/>
          </w:tcPr>
          <w:p>
            <w:r>
              <w:t>Luồng end-to-end có dependency rõ theo dataset và stage.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4.3.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r>
              <w:t>Minh chứng nghiệm thu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r>
              <w:t>Kết quả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r>
              <w:t>Kết quả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r>
              <w:t>Kết quả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r>
              <w:t>call_code là array do model sinh; không còn publish các cột nhãn legacy</w:t>
            </w:r>
          </w:p>
        </w:tc>
        <w:tc>
          <w:tcPr>
            <w:tcW w:type="dxa" w:w="3025"/>
            <w:tcMar>
              <w:top w:w="80" w:type="dxa"/>
              <w:start w:w="120" w:type="dxa"/>
              <w:bottom w:w="80" w:type="dxa"/>
              <w:end w:w="120" w:type="dxa"/>
            </w:tcMar>
            <w:vAlign w:val="center"/>
          </w:tcPr>
          <w:p>
            <w:r>
              <w:t>Query mẫu một transcript và nhãn model.</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r>
              <w:t>BigQuery dim_customer không có full_name/address khi BLOCKED_BIGQUERY_COLUMNS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r>
              <w:t>Màn hình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4.5.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4.6. Dashboard Superset/BI cho phân tích hiệu suất telesales</w:t>
      </w:r>
    </w:p>
    <w:p>
      <w:pPr>
        <w:pStyle w:val="ReportCaption"/>
      </w:pPr>
      <w:r>
        <w:t>Bảng 4.3.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r>
        <w:t>Bảng 4.4 tổng hợp lại kết quả sau khi đặt hai mô hình vào bối cảnh thực nghiệm. Kết luận lựa chọn không chỉ dựa trên F1 Micro, mà còn dựa trên Macro F1, Exact Match, khả năng hoàn tất full rebuild và chi phí phụ thuộc runtime trong môi trường CPU-only.</w:t>
      </w:r>
    </w:p>
    <w:p>
      <w:pPr>
        <w:pStyle w:val="ReportCaption"/>
      </w:pPr>
      <w:r>
        <w:t>Bảng 4.4. So sánh hậu thực nghiệm giữa BoW và RoBERTa để chọn mô hình production</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rPr>
                <w:b/>
              </w:rPr>
              <w:t>Tiêu chí</w:t>
            </w:r>
          </w:p>
        </w:tc>
        <w:tc>
          <w:tcPr>
            <w:tcW w:type="dxa" w:w="2401"/>
          </w:tcPr>
          <w:p>
            <w:r>
              <w:rPr>
                <w:b/>
              </w:rPr>
              <w:t>BoW + Logistic Regression</w:t>
            </w:r>
          </w:p>
        </w:tc>
        <w:tc>
          <w:tcPr>
            <w:tcW w:type="dxa" w:w="2401"/>
          </w:tcPr>
          <w:p>
            <w:r>
              <w:rPr>
                <w:b/>
              </w:rPr>
              <w:t>RoBERTa fine-tuned</w:t>
            </w:r>
          </w:p>
        </w:tc>
        <w:tc>
          <w:tcPr>
            <w:tcW w:type="dxa" w:w="2401"/>
          </w:tcPr>
          <w:p>
            <w:r>
              <w:rPr>
                <w:b/>
              </w:rPr>
              <w:t>Kết luận lựa chọn</w:t>
            </w:r>
          </w:p>
        </w:tc>
      </w:tr>
      <w:tr>
        <w:tc>
          <w:tcPr>
            <w:tcW w:type="dxa" w:w="2401"/>
          </w:tcPr>
          <w:p>
            <w:r>
              <w:t>Chất lượng offline trên test set</w:t>
            </w:r>
          </w:p>
        </w:tc>
        <w:tc>
          <w:tcPr>
            <w:tcW w:type="dxa" w:w="2401"/>
          </w:tcPr>
          <w:p>
            <w:r>
              <w:t>F1 Micro 70,16%; F1 Macro 62,08%; Exact Match 17,89%</w:t>
            </w:r>
          </w:p>
        </w:tc>
        <w:tc>
          <w:tcPr>
            <w:tcW w:type="dxa" w:w="2401"/>
          </w:tcPr>
          <w:p>
            <w:r>
              <w:t>F1 Micro 73,46%; F1 Macro 56,14%; Exact Match 17,71%</w:t>
            </w:r>
          </w:p>
        </w:tc>
        <w:tc>
          <w:tcPr>
            <w:tcW w:type="dxa" w:w="2401"/>
          </w:tcPr>
          <w:p>
            <w:r>
              <w:t>RoBERTa nhỉnh hơn F1 Micro, nhưng Macro F1 và Exact Match không tốt hơn BoW.</w:t>
            </w:r>
          </w:p>
        </w:tc>
      </w:tr>
      <w:tr>
        <w:tc>
          <w:tcPr>
            <w:tcW w:type="dxa" w:w="2401"/>
          </w:tcPr>
          <w:p>
            <w:r>
              <w:t>Thực nghiệm full rebuild Silver</w:t>
            </w:r>
          </w:p>
        </w:tc>
        <w:tc>
          <w:tcPr>
            <w:tcW w:type="dxa" w:w="2401"/>
          </w:tcPr>
          <w:p>
            <w:r>
              <w:t>Hoàn tất 23.447 call_logs trong khoảng 40 giây ở lần chạy BoW.</w:t>
            </w:r>
          </w:p>
        </w:tc>
        <w:tc>
          <w:tcPr>
            <w:tcW w:type="dxa" w:w="2401"/>
          </w:tcPr>
          <w:p>
            <w:r>
              <w:t>Các lần thử CPU-only bị treo/chậm kéo dài hoặc không hoàn tất Silver trong thời gian hợp lý.</w:t>
            </w:r>
          </w:p>
        </w:tc>
        <w:tc>
          <w:tcPr>
            <w:tcW w:type="dxa" w:w="2401"/>
          </w:tcPr>
          <w:p>
            <w:r>
              <w:t>BoW đáp ứng yêu cầu chạy lại pipeline end-to-end.</w:t>
            </w:r>
          </w:p>
        </w:tc>
      </w:tr>
      <w:tr>
        <w:tc>
          <w:tcPr>
            <w:tcW w:type="dxa" w:w="2401"/>
          </w:tcPr>
          <w:p>
            <w:r>
              <w:t>Phụ thuộc runtime</w:t>
            </w:r>
          </w:p>
        </w:tc>
        <w:tc>
          <w:tcPr>
            <w:tcW w:type="dxa" w:w="2401"/>
          </w:tcPr>
          <w:p>
            <w:r>
              <w:t>scikit-learn/joblib, artifact nhỏ, dễ đóng gói vào Spark/Airflow.</w:t>
            </w:r>
          </w:p>
        </w:tc>
        <w:tc>
          <w:tcPr>
            <w:tcW w:type="dxa" w:w="2401"/>
          </w:tcPr>
          <w:p>
            <w:r>
              <w:t>PyTorch, Transformers, checkpoint lớn và nhạy với cấu hình CPU/RAM.</w:t>
            </w:r>
          </w:p>
        </w:tc>
        <w:tc>
          <w:tcPr>
            <w:tcW w:type="dxa" w:w="2401"/>
          </w:tcPr>
          <w:p>
            <w:r>
              <w:t>BoW giảm rủi ro môi trường trong prototype Docker local.</w:t>
            </w:r>
          </w:p>
        </w:tc>
      </w:tr>
      <w:tr>
        <w:tc>
          <w:tcPr>
            <w:tcW w:type="dxa" w:w="2401"/>
          </w:tcPr>
          <w:p>
            <w:r>
              <w:t>Khả năng giải thích và debug</w:t>
            </w:r>
          </w:p>
        </w:tc>
        <w:tc>
          <w:tcPr>
            <w:tcW w:type="dxa" w:w="2401"/>
          </w:tcPr>
          <w:p>
            <w:r>
              <w:t>Trọng số n-gram/Logistic Regression dễ kiểm tra khi nhãn sai.</w:t>
            </w:r>
          </w:p>
        </w:tc>
        <w:tc>
          <w:tcPr>
            <w:tcW w:type="dxa" w:w="2401"/>
          </w:tcPr>
          <w:p>
            <w:r>
              <w:t>Biểu diễn ngữ cảnh sâu hơn nhưng khó giải thích ở mức token/ngram.</w:t>
            </w:r>
          </w:p>
        </w:tc>
        <w:tc>
          <w:tcPr>
            <w:tcW w:type="dxa" w:w="2401"/>
          </w:tcPr>
          <w:p>
            <w:r>
              <w:t>BoW phù hợp hơn với mục tiêu kiểm chứng Data Engineering.</w:t>
            </w:r>
          </w:p>
        </w:tc>
      </w:tr>
      <w:tr>
        <w:tc>
          <w:tcPr>
            <w:tcW w:type="dxa" w:w="2401"/>
          </w:tcPr>
          <w:p>
            <w:r>
              <w:t>Quyết định sau thực nghiệm</w:t>
            </w:r>
          </w:p>
        </w:tc>
        <w:tc>
          <w:tcPr>
            <w:tcW w:type="dxa" w:w="2401"/>
          </w:tcPr>
          <w:p>
            <w:r>
              <w:t>Chọn làm mô hình production cho nhánh AGI Telesales; CallCenterEN dùng một BoW/threshold model riêng cùng triết lý nhẹ và ổn định.</w:t>
            </w:r>
          </w:p>
        </w:tc>
        <w:tc>
          <w:tcPr>
            <w:tcW w:type="dxa" w:w="2401"/>
          </w:tcPr>
          <w:p>
            <w:r>
              <w:t>Giữ làm baseline học sâu và hướng nâng cấp khi có model serving/GPU.</w:t>
            </w:r>
          </w:p>
        </w:tc>
        <w:tc>
          <w:tcPr>
            <w:tcW w:type="dxa" w:w="2401"/>
          </w:tcPr>
          <w:p>
            <w:r>
              <w:t>Không chọn RoBERTa cho production path hiện tại.</w:t>
            </w:r>
          </w:p>
        </w:tc>
      </w:tr>
    </w:tbl>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dữ liệu tương đương</w:t>
      </w:r>
    </w:p>
    <w:p>
      <w:pPr/>
      <w:r>
        <w:t>Thực nghiệm CallCenterEN được chạy lại theo hướng nhánh dữ liệu thứ hai trong kiến trúc multi-source, thay vì chỉ xem như tập phụ trợ. Trước khi huấn luyện model riêng, model BoW đã huấn luyện trên nhánh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4.5.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Sau bảng hậu thực nghiệm BoW/RoBERTa, phần CallCenterEN được đánh giá tiếp ở mức multi-source. Bảng dưới đây không chỉ so sánh chỉ số trong cùng miền dữ liệu, mà còn cho thấy khi model của nhánh AGI Telesales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domain shift giữa hai nhánh dữ liệu tương đương và định vị hai model riêng, không thay thế một benchmark duy nhất được huấn luyện lại trên cùng một lần chạy.</w:t>
      </w:r>
    </w:p>
    <w:p>
      <w:pPr>
        <w:pStyle w:val="ReportCaption"/>
      </w:pPr>
      <w:r>
        <w:t>Bảng 4.6.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t>0,2527</w:t>
            </w:r>
          </w:p>
        </w:tc>
        <w:tc>
          <w:tcPr>
            <w:tcW w:type="dxa" w:w="1170"/>
          </w:tcPr>
          <w:p>
            <w:r>
              <w:t>0,7261</w:t>
            </w:r>
          </w:p>
        </w:tc>
        <w:tc>
          <w:tcPr>
            <w:tcW w:type="dxa" w:w="1170"/>
          </w:tcPr>
          <w:p>
            <w:r>
              <w:t>0,6407</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t>0,0004</w:t>
            </w:r>
          </w:p>
        </w:tc>
        <w:tc>
          <w:tcPr>
            <w:tcW w:type="dxa" w:w="1170"/>
          </w:tcPr>
          <w:p>
            <w:r>
              <w:t>0,3970</w:t>
            </w:r>
          </w:p>
        </w:tc>
        <w:tc>
          <w:tcPr>
            <w:tcW w:type="dxa" w:w="1170"/>
          </w:tcPr>
          <w:p>
            <w: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t>0,1412</w:t>
            </w:r>
          </w:p>
        </w:tc>
        <w:tc>
          <w:tcPr>
            <w:tcW w:type="dxa" w:w="1170"/>
          </w:tcPr>
          <w:p>
            <w:r>
              <w:t>0,7241</w:t>
            </w:r>
          </w:p>
        </w:tc>
        <w:tc>
          <w:tcPr>
            <w:tcW w:type="dxa" w:w="1170"/>
          </w:tcPr>
          <w:p>
            <w: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4.7.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1,732</w:t>
            </w:r>
          </w:p>
        </w:tc>
        <w:tc>
          <w:tcPr>
            <w:tcW w:type="dxa" w:w="1201"/>
          </w:tcPr>
          <w:p>
            <w:r>
              <w:t>0.2633</w:t>
            </w:r>
          </w:p>
        </w:tc>
        <w:tc>
          <w:tcPr>
            <w:tcW w:type="dxa" w:w="1201"/>
          </w:tcPr>
          <w:p>
            <w:r>
              <w:t>0.7309</w:t>
            </w:r>
          </w:p>
        </w:tc>
        <w:tc>
          <w:tcPr>
            <w:tcW w:type="dxa" w:w="1201"/>
          </w:tcPr>
          <w:p>
            <w:r>
              <w:t>0.6501</w:t>
            </w:r>
          </w:p>
        </w:tc>
        <w:tc>
          <w:tcPr>
            <w:tcW w:type="dxa" w:w="1201"/>
          </w:tcPr>
          <w:p>
            <w:r>
              <w:t>0.7326</w:t>
            </w:r>
          </w:p>
        </w:tc>
        <w:tc>
          <w:tcPr>
            <w:tcW w:type="dxa" w:w="1201"/>
          </w:tcPr>
          <w:p>
            <w:r>
              <w:t>0.0688</w:t>
            </w:r>
          </w:p>
        </w:tc>
      </w:tr>
      <w:tr>
        <w:tc>
          <w:tcPr>
            <w:tcW w:type="dxa" w:w="1201"/>
          </w:tcPr>
          <w:p>
            <w:r>
              <w:t>M4_combined_bow</w:t>
            </w:r>
          </w:p>
        </w:tc>
        <w:tc>
          <w:tcPr>
            <w:tcW w:type="dxa" w:w="1201"/>
          </w:tcPr>
          <w:p>
            <w:r>
              <w:t>15,455</w:t>
            </w:r>
          </w:p>
        </w:tc>
        <w:tc>
          <w:tcPr>
            <w:tcW w:type="dxa" w:w="1201"/>
          </w:tcPr>
          <w:p>
            <w:r>
              <w:t>1,732</w:t>
            </w:r>
          </w:p>
        </w:tc>
        <w:tc>
          <w:tcPr>
            <w:tcW w:type="dxa" w:w="1201"/>
          </w:tcPr>
          <w:p>
            <w:r>
              <w:t>0.2564</w:t>
            </w:r>
          </w:p>
        </w:tc>
        <w:tc>
          <w:tcPr>
            <w:tcW w:type="dxa" w:w="1201"/>
          </w:tcPr>
          <w:p>
            <w:r>
              <w:t>0.7283</w:t>
            </w:r>
          </w:p>
        </w:tc>
        <w:tc>
          <w:tcPr>
            <w:tcW w:type="dxa" w:w="1201"/>
          </w:tcPr>
          <w:p>
            <w:r>
              <w:t>0.6429</w:t>
            </w:r>
          </w:p>
        </w:tc>
        <w:tc>
          <w:tcPr>
            <w:tcW w:type="dxa" w:w="1201"/>
          </w:tcPr>
          <w:p>
            <w:r>
              <w:t>0.7304</w:t>
            </w:r>
          </w:p>
        </w:tc>
        <w:tc>
          <w:tcPr>
            <w:tcW w:type="dxa" w:w="1201"/>
          </w:tcPr>
          <w:p>
            <w:r>
              <w:t>0.0696</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1,733</w:t>
            </w:r>
          </w:p>
        </w:tc>
        <w:tc>
          <w:tcPr>
            <w:tcW w:type="dxa" w:w="1201"/>
          </w:tcPr>
          <w:p>
            <w:r>
              <w:t>0.2527</w:t>
            </w:r>
          </w:p>
        </w:tc>
        <w:tc>
          <w:tcPr>
            <w:tcW w:type="dxa" w:w="1201"/>
          </w:tcPr>
          <w:p>
            <w:r>
              <w:t>0.7261</w:t>
            </w:r>
          </w:p>
        </w:tc>
        <w:tc>
          <w:tcPr>
            <w:tcW w:type="dxa" w:w="1201"/>
          </w:tcPr>
          <w:p>
            <w:r>
              <w:t>0.6407</w:t>
            </w:r>
          </w:p>
        </w:tc>
        <w:tc>
          <w:tcPr>
            <w:tcW w:type="dxa" w:w="1201"/>
          </w:tcPr>
          <w:p>
            <w:r>
              <w:t>0.7267</w:t>
            </w:r>
          </w:p>
        </w:tc>
        <w:tc>
          <w:tcPr>
            <w:tcW w:type="dxa" w:w="1201"/>
          </w:tcPr>
          <w:p>
            <w:r>
              <w:t>0.0699</w:t>
            </w:r>
          </w:p>
        </w:tc>
      </w:tr>
      <w:tr>
        <w:tc>
          <w:tcPr>
            <w:tcW w:type="dxa" w:w="1201"/>
          </w:tcPr>
          <w:p>
            <w:r>
              <w:t>M4_combined_bow</w:t>
            </w:r>
          </w:p>
        </w:tc>
        <w:tc>
          <w:tcPr>
            <w:tcW w:type="dxa" w:w="1201"/>
          </w:tcPr>
          <w:p>
            <w:r>
              <w:t>15,455</w:t>
            </w:r>
          </w:p>
        </w:tc>
        <w:tc>
          <w:tcPr>
            <w:tcW w:type="dxa" w:w="1201"/>
          </w:tcPr>
          <w:p>
            <w:r>
              <w:t>1,733</w:t>
            </w:r>
          </w:p>
        </w:tc>
        <w:tc>
          <w:tcPr>
            <w:tcW w:type="dxa" w:w="1201"/>
          </w:tcPr>
          <w:p>
            <w:r>
              <w:t>0.2499</w:t>
            </w:r>
          </w:p>
        </w:tc>
        <w:tc>
          <w:tcPr>
            <w:tcW w:type="dxa" w:w="1201"/>
          </w:tcPr>
          <w:p>
            <w:r>
              <w:t>0.7238</w:t>
            </w:r>
          </w:p>
        </w:tc>
        <w:tc>
          <w:tcPr>
            <w:tcW w:type="dxa" w:w="1201"/>
          </w:tcPr>
          <w:p>
            <w:r>
              <w:t>0.6389</w:t>
            </w:r>
          </w:p>
        </w:tc>
        <w:tc>
          <w:tcPr>
            <w:tcW w:type="dxa" w:w="1201"/>
          </w:tcPr>
          <w:p>
            <w:r>
              <w:t>0.7249</w:t>
            </w:r>
          </w:p>
        </w:tc>
        <w:tc>
          <w:tcPr>
            <w:tcW w:type="dxa" w:w="1201"/>
          </w:tcPr>
          <w:p>
            <w:r>
              <w:t>0.0708</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3"/>
      </w:pPr>
      <w:r>
        <w:t>4.6.3. Kiểm thử luồng Airflow tách stage theo dataset</w:t>
      </w:r>
    </w:p>
    <w:p>
      <w:pPr/>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pPr/>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pPr/>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pPr/>
      <w:r>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pPr/>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pPr/>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r/>
    </w:p>
    <w:p>
      <w:pPr/>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pPr/>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pPr>
        <w:pStyle w:val="Heading3"/>
      </w:pPr>
      <w:r>
        <w:t>4.6.4. Kiểm thử full pipeline tuần tự ngày 26/06/2026</w:t>
      </w:r>
    </w:p>
    <w:p>
      <w:r>
        <w:t>Lần kiểm thử mới nhất được thực hiện với run id manual_clean_v7_20260626_091000. DAG telesales_lakehouse_pipeline chạy theo thứ tự tuần tự: wait_for_debezium_connector, các Bronze/Silver của nhánh AGI Telesales, Gold dim_customer -&gt; dim_offer -&gt; dim_date -&gt; fact_telesales_calls, sau đó chạy nhánh CallCenterEN Bronze -&gt; Silver -&gt; Gold và cuối cùng là bq_sync_gold. Thứ tự này là lựa chọn điều phối tài nguyên trong môi trường Docker local, không thể hiện quan hệ chính-phụ giữa hai nguồn dữ liệu.</w:t>
      </w:r>
    </w:p>
    <w:p>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 Trong lần chạy xác nhận cuối, bước đồng bộ BigQuery sử dụng DataFrame load API để tránh lỗi tạm thời dạng Storage Write stream NOT_FOUND khi ghi trực tiếp trong môi trường sandbox/local.</w:t>
      </w:r>
    </w:p>
    <w:p>
      <w:pPr>
        <w:pStyle w:val="ReportCaption"/>
      </w:pPr>
      <w:r>
        <w:t>Bảng 4.8. Kết quả kiểm thử full pipeline tuần tự ngày 26/06/2026</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tcPr>
          <w:p>
            <w:pPr>
              <w:spacing w:after="0"/>
            </w:pPr>
            <w:r>
              <w:rPr>
                <w:sz w:val="18"/>
              </w:rPr>
              <w:t>Nhóm kiểm thử</w:t>
            </w:r>
          </w:p>
        </w:tc>
        <w:tc>
          <w:tcPr>
            <w:tcW w:type="dxa" w:w="3202"/>
            <w:vAlign w:val="center"/>
          </w:tcPr>
          <w:p>
            <w:pPr>
              <w:spacing w:after="0"/>
            </w:pPr>
            <w:r>
              <w:rPr>
                <w:sz w:val="18"/>
              </w:rPr>
              <w:t>Kết quả xác nhận</w:t>
            </w:r>
          </w:p>
        </w:tc>
        <w:tc>
          <w:tcPr>
            <w:tcW w:type="dxa" w:w="3202"/>
            <w:vAlign w:val="center"/>
          </w:tcPr>
          <w:p>
            <w:pPr>
              <w:spacing w:after="0"/>
            </w:pPr>
            <w:r>
              <w:rPr>
                <w:sz w:val="18"/>
              </w:rPr>
              <w:t>Số dòng / trạng thái</w:t>
            </w:r>
          </w:p>
        </w:tc>
      </w:tr>
      <w:tr>
        <w:tc>
          <w:tcPr>
            <w:tcW w:type="dxa" w:w="3202"/>
            <w:vAlign w:val="center"/>
          </w:tcPr>
          <w:p>
            <w:pPr>
              <w:spacing w:after="0"/>
            </w:pPr>
            <w:r>
              <w:rPr>
                <w:sz w:val="18"/>
              </w:rPr>
              <w:t>Airflow DAG</w:t>
            </w:r>
          </w:p>
        </w:tc>
        <w:tc>
          <w:tcPr>
            <w:tcW w:type="dxa" w:w="3202"/>
            <w:vAlign w:val="center"/>
          </w:tcPr>
          <w:p>
            <w:pPr>
              <w:spacing w:after="0"/>
            </w:pPr>
            <w:r>
              <w:rPr>
                <w:sz w:val="18"/>
              </w:rPr>
              <w:t>Tất cả task chính success, BQ sync chạy sau Gold CallCenterEN</w:t>
            </w:r>
          </w:p>
        </w:tc>
        <w:tc>
          <w:tcPr>
            <w:tcW w:type="dxa" w:w="3202"/>
            <w:vAlign w:val="center"/>
          </w:tcPr>
          <w:p>
            <w:pPr>
              <w:spacing w:after="0"/>
            </w:pPr>
            <w:r>
              <w:rPr>
                <w:sz w:val="18"/>
              </w:rPr>
              <w:t>Success</w:t>
            </w:r>
          </w:p>
        </w:tc>
      </w:tr>
      <w:tr>
        <w:tc>
          <w:tcPr>
            <w:tcW w:type="dxa" w:w="3202"/>
            <w:vAlign w:val="center"/>
          </w:tcPr>
          <w:p>
            <w:pPr>
              <w:spacing w:after="0"/>
            </w:pPr>
            <w:r>
              <w:rPr>
                <w:sz w:val="18"/>
              </w:rPr>
              <w:t>Primary Gold</w:t>
            </w:r>
          </w:p>
        </w:tc>
        <w:tc>
          <w:tcPr>
            <w:tcW w:type="dxa" w:w="3202"/>
            <w:vAlign w:val="center"/>
          </w:tcPr>
          <w:p>
            <w:pPr>
              <w:spacing w:after="0"/>
            </w:pPr>
            <w:r>
              <w:rPr>
                <w:sz w:val="18"/>
              </w:rPr>
              <w:t>dim_customer, dim_offer, dim_date, fact_telesales_calls</w:t>
            </w:r>
          </w:p>
        </w:tc>
        <w:tc>
          <w:tcPr>
            <w:tcW w:type="dxa" w:w="3202"/>
            <w:vAlign w:val="center"/>
          </w:tcPr>
          <w:p>
            <w:pPr>
              <w:spacing w:after="0"/>
            </w:pPr>
            <w:r>
              <w:rPr>
                <w:sz w:val="18"/>
              </w:rPr>
              <w:t>4.344 / 5.072 / 2 / 23.447</w:t>
            </w:r>
          </w:p>
        </w:tc>
      </w:tr>
      <w:tr>
        <w:tc>
          <w:tcPr>
            <w:tcW w:type="dxa" w:w="3202"/>
            <w:vAlign w:val="center"/>
          </w:tcPr>
          <w:p>
            <w:pPr>
              <w:spacing w:after="0"/>
            </w:pPr>
            <w:r>
              <w:rPr>
                <w:sz w:val="18"/>
              </w:rPr>
              <w:t>CallCenterEN Silver</w:t>
            </w:r>
          </w:p>
        </w:tc>
        <w:tc>
          <w:tcPr>
            <w:tcW w:type="dxa" w:w="3202"/>
            <w:vAlign w:val="center"/>
          </w:tcPr>
          <w:p>
            <w:pPr>
              <w:spacing w:after="0"/>
            </w:pPr>
            <w:r>
              <w:rPr>
                <w:sz w:val="18"/>
              </w:rPr>
              <w:t>callcenteren_clean và callcenteren_labeled sau BoW inference</w:t>
            </w:r>
          </w:p>
        </w:tc>
        <w:tc>
          <w:tcPr>
            <w:tcW w:type="dxa" w:w="3202"/>
            <w:vAlign w:val="center"/>
          </w:tcPr>
          <w:p>
            <w:pPr>
              <w:spacing w:after="0"/>
            </w:pPr>
            <w:r>
              <w:rPr>
                <w:sz w:val="18"/>
              </w:rPr>
              <w:t>15.000 / 15.000</w:t>
            </w:r>
          </w:p>
        </w:tc>
      </w:tr>
      <w:tr>
        <w:tc>
          <w:tcPr>
            <w:tcW w:type="dxa" w:w="3202"/>
            <w:vAlign w:val="center"/>
          </w:tcPr>
          <w:p>
            <w:pPr>
              <w:spacing w:after="0"/>
            </w:pPr>
            <w:r>
              <w:rPr>
                <w:sz w:val="18"/>
              </w:rPr>
              <w:t>CallCenterEN Star Schema</w:t>
            </w:r>
          </w:p>
        </w:tc>
        <w:tc>
          <w:tcPr>
            <w:tcW w:type="dxa" w:w="3202"/>
            <w:vAlign w:val="center"/>
          </w:tcPr>
          <w:p>
            <w:pPr>
              <w:spacing w:after="0"/>
            </w:pPr>
            <w:r>
              <w:rPr>
                <w:sz w:val="18"/>
              </w:rPr>
              <w:t>source, model, call_code, fact và bridge multi-label</w:t>
            </w:r>
          </w:p>
        </w:tc>
        <w:tc>
          <w:tcPr>
            <w:tcW w:type="dxa" w:w="3202"/>
            <w:vAlign w:val="center"/>
          </w:tcPr>
          <w:p>
            <w:pPr>
              <w:spacing w:after="0"/>
            </w:pPr>
            <w:r>
              <w:rPr>
                <w:sz w:val="18"/>
              </w:rPr>
              <w:t>9 / 1 / 28 / 15.000 / 49.891</w:t>
            </w:r>
          </w:p>
        </w:tc>
      </w:tr>
      <w:tr>
        <w:tc>
          <w:tcPr>
            <w:tcW w:type="dxa" w:w="3202"/>
            <w:vAlign w:val="center"/>
          </w:tcPr>
          <w:p>
            <w:pPr>
              <w:spacing w:after="0"/>
            </w:pPr>
            <w:r>
              <w:rPr>
                <w:sz w:val="18"/>
              </w:rPr>
              <w:t>BigQuery tables</w:t>
            </w:r>
          </w:p>
        </w:tc>
        <w:tc>
          <w:tcPr>
            <w:tcW w:type="dxa" w:w="3202"/>
            <w:vAlign w:val="center"/>
          </w:tcPr>
          <w:p>
            <w:pPr>
              <w:spacing w:after="0"/>
            </w:pPr>
            <w:r>
              <w:rPr>
                <w:sz w:val="18"/>
              </w:rPr>
              <w:t>Các bảng primary, comparison và CallCenterEN được sync</w:t>
            </w:r>
          </w:p>
        </w:tc>
        <w:tc>
          <w:tcPr>
            <w:tcW w:type="dxa" w:w="3202"/>
            <w:vAlign w:val="center"/>
          </w:tcPr>
          <w:p>
            <w:pPr>
              <w:spacing w:after="0"/>
            </w:pPr>
            <w:r>
              <w:rPr>
                <w:sz w:val="18"/>
              </w:rPr>
              <w:t>14 bảng</w:t>
            </w:r>
          </w:p>
        </w:tc>
      </w:tr>
      <w:tr>
        <w:tc>
          <w:tcPr>
            <w:tcW w:type="dxa" w:w="3202"/>
            <w:vAlign w:val="center"/>
          </w:tcPr>
          <w:p>
            <w:pPr>
              <w:spacing w:after="0"/>
            </w:pPr>
            <w:r>
              <w:rPr>
                <w:sz w:val="18"/>
              </w:rPr>
              <w:t>BigQuery views</w:t>
            </w:r>
          </w:p>
        </w:tc>
        <w:tc>
          <w:tcPr>
            <w:tcW w:type="dxa" w:w="3202"/>
            <w:vAlign w:val="center"/>
          </w:tcPr>
          <w:p>
            <w:pPr>
              <w:spacing w:after="0"/>
            </w:pPr>
            <w:r>
              <w:rPr>
                <w:sz w:val="18"/>
              </w:rPr>
              <w:t>vw_telesales_performance và 3 view CallCenterEN đọc được dữ liệu</w:t>
            </w:r>
          </w:p>
        </w:tc>
        <w:tc>
          <w:tcPr>
            <w:tcW w:type="dxa" w:w="3202"/>
            <w:vAlign w:val="center"/>
          </w:tcPr>
          <w:p>
            <w:pPr>
              <w:spacing w:after="0"/>
            </w:pPr>
            <w:r>
              <w:rPr>
                <w:sz w:val="18"/>
              </w:rPr>
              <w:t>23.447 / 15.000 / 15.000 / 49.891</w:t>
            </w:r>
          </w:p>
        </w:tc>
      </w:tr>
    </w:tbl>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prototype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t>Tài liệu vận hành của đề tài đã chuẩn hóa các bước rebuild, kiểm thử container, kiểm tra connector, chạy Airflow DAG, tạo serving view và validate row count. Đây là đóng góp vận hành quan trọng vì một hệ thống dữ liệu không chỉ cần mã nguồn mà còn cần khả năng chạy lại. Các cập nhật trong README và PROJECT_REPORT_MEMORY cho thấy quá trình triển khai đã đi qua lỗi thật và đã được chuẩn hóa thành quy trình kiểm chứng.</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tổ chức AGI Telesales và CallCenterEN thành hai nhánh dữ liệu tương đương tạo ra đóng góp mới về thiết kế multi-source Lakehouse. Nhánh AGI Telesales chứng minh pipeline nghiệp vụ telesales tài chính với customer, offer, call_logs, mô hình BoW production và Star Schema phục vụ dashboard. Nhánh CallCenterEN chứng minh pipeline có thể tiếp nhận nguồn call-center bên ngoài với candidate dataset 15.000 dòng, split pseudo-label riêng, model call_code riêng và các bảng Bronze/Silver/Gold riêng. Điều này giúp kiến trúc thể hiện khả năng mở rộng sang nguồn dữ liệu ngoài mà không phá vỡ pipeline hiện có.</w:t>
      </w:r>
    </w:p>
    <w:p>
      <w:pPr/>
      <w:r>
        <w:t>Đóng góp thứ hai là bằng chứng thực nghiệm về domain shift. Model của nhánh AGI Telesales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hiện không còn dừng ở mức optional sync. Bản kiểm thử ngày 26/06/2026 đã xác nhận CallCenterEN đi đủ Bronze, Silver có BoW inference, Gold Star Schema và BigQuery tables/views. Hạn chế còn lại nằm ở môi trường BigQuery sandbox chưa bật billing, nên dataset và view phải đặt expiration dưới 60 ngày. Khi triển khai production, hướng xử lý là sử dụng project đã bật billing hoặc áp dụng policy TTL chính thức.</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Trong kiến trúc multi-source cuối cùng, AGI Telesales và CallCenterEN được tổ chức thành hai nhánh dữ liệu tương đương để kiểm chứng cả bài toán nghiệp vụ nội bộ và nguồn transcript call-center bên ngoài. Bản kiểm thử ngày 26/06/2026 bổ sung bằng chứng rằng nhánh CallCenterEN chạy cùng pattern Bronze/Silver/Gold, có Star Schema riêng và được đồng bộ tới BigQuery cùng các serving view.</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2"/>
      </w:pPr>
      <w:r>
        <w:t>Ghi chú phiên bản v9</w:t>
      </w:r>
    </w:p>
    <w:p>
      <w:r>
        <w:t>Phiên bản v9 kế thừa bản v8, tiếp tục rà soát theo tiêu chuẩn báo cáo học thuật: sửa lỗi tiêu đề, chuẩn hóa giọng văn tránh câu hướng dẫn, đồng bộ lại danh mục hình/caption, và giữ nguyên mạch hai nhánh dữ liệu tương đương cùng bảng so sánh hậu thực nghiệm giữa BoW và RoBERTa.</w:t>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 bằng model.</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khung minh chứng trung tính cho sơ đồ kiến trúc, screenshot vận hành, dashboard và kết quả truy vấn kiểm chứng. Nhóm khung minh chứng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