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Mô hình sinh dữ liệu chính là models/gemma-3-27b-it; notebook cũng có phiên bản thử nghiệm ban đầu với models/gemini-2.5-flash.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Kết quả cuối cùng là một prototype end-to-end có khả năng tái lập cục bộ, kiểm soát PII và tách tải OLTP/OLAP cho hệ thống AGI Telesales.</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r>
        <w:rPr>
          <w:b w:val="0"/>
        </w:rPr>
        <w:t>1.14.5. Học thích nghi miền, weak supervision và pseudo-labeling</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r>
        <w:rPr>
          <w:b w:val="0"/>
        </w:rPr>
        <w:t>2.1.5. Từ CallCenterEN đến prompt sinh dataset chính</w:t>
      </w:r>
    </w:p>
    <w:p>
      <w:r>
        <w:rPr>
          <w:b w:val="0"/>
        </w:rPr>
        <w:t>2.1.4. Vai trò của CallCenterEN trong nghiên cứu</w:t>
      </w:r>
    </w:p>
    <w:p>
      <w:pPr/>
      <w:r>
        <w:t>2.1. Vai trò của dữ liệu trong đề tài</w:t>
      </w:r>
    </w:p>
    <w:p>
      <w:pPr/>
      <w:r>
        <w:t>2.2. Nguồn gốc và quy trình sinh dữ liệu</w:t>
      </w:r>
    </w:p>
    <w:p>
      <w:r>
        <w:rPr>
          <w:b w:val="0"/>
        </w:rPr>
        <w:t>2.3.5. Đối chiếu dataset chính với CallCenterEN</w:t>
      </w:r>
    </w:p>
    <w:p>
      <w:pPr/>
      <w:r>
        <w:t>2.3. Thiết kế schema và tính chất dữ liệu</w:t>
      </w:r>
    </w:p>
    <w:p>
      <w:pPr/>
      <w:r>
        <w:t>2.4. Chuẩn hóa dữ liệu thành các thực thể nguồn</w:t>
      </w:r>
    </w:p>
    <w:p>
      <w:r>
        <w:rPr>
          <w:b w:val="0"/>
        </w:rPr>
        <w:t>2.5.3. Lọc CallCenterEN subset và tạo pseudo-label</w:t>
      </w:r>
    </w:p>
    <w:p>
      <w:pPr/>
      <w:r>
        <w:t>2.5. Chuẩn bị dữ liệu huấn luyện NLP</w:t>
      </w:r>
    </w:p>
    <w:p>
      <w:r>
        <w:rPr>
          <w:b w:val="0"/>
        </w:rPr>
        <w:t>2.6.7. Cấu hình thí nghiệm auxiliary training</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r>
        <w:rPr>
          <w:b w:val="0"/>
        </w:rPr>
        <w:t>4.5.5. Thực nghiệm auxiliary training với CallCenterEN</w:t>
      </w:r>
    </w:p>
    <w:p>
      <w:pPr/>
      <w:r>
        <w:t>4.5. Đánh giá NLP trong pipeline</w:t>
      </w:r>
    </w:p>
    <w:p>
      <w:pPr/>
      <w:r>
        <w:t>4.6. Kiểm thử khả năng chạy lại và phục hồi lỗi</w:t>
      </w:r>
    </w:p>
    <w:p>
      <w:pPr/>
      <w:r>
        <w:t>Chương 5: ĐÁNH GIÁ TỔNG HỢP, HẠN CHẾ VÀ HƯỚNG PHÁT TRIỂN</w:t>
      </w:r>
    </w:p>
    <w:p>
      <w:pPr/>
      <w:r>
        <w:t>PHẦN KẾT LUẬN</w:t>
      </w:r>
    </w:p>
    <w:p>
      <w:pPr/>
      <w:r>
        <w:t>TÀI LIỆU THAM KHẢO</w:t>
      </w:r>
    </w:p>
    <w:p>
      <w:pPr/>
      <w:r>
        <w:t>PHỤ LỤC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r>
              <w:rPr>
                <w:rFonts w:ascii="Times New Roman" w:hAnsi="Times New Roman" w:eastAsia="Times New Roman"/>
                <w:sz w:val="20"/>
              </w:rPr>
              <w:t>Tích hợp mô hình NLP/RoBERTa để phân loại nội dung cuộc gọi và sinh nhãn dự đoán phục vụ phân tích nghiệp vụ.</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rPr>
          <w:rFonts w:ascii="Times New Roman" w:hAnsi="Times New Roman" w:eastAsia="Times New Roman"/>
          <w:sz w:val="24"/>
        </w:rPr>
        <w:t>Hình 4.3. Dashboard Superset/BI cho phân tích hiệu suất telesales</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4.8. Dashboard phân tích outcome, lead source và product performance</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rPr>
          <w:rFonts w:eastAsia="Times New Roman"/>
          <w:sz w:val="26"/>
        </w:rP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rPr>
          <w:rFonts w:eastAsia="Times New Roman"/>
          <w:sz w:val="26"/>
        </w:rPr>
        <w:t>Nghiên cứu Lakehouse được công bố tại CIDR 2021 đề xuất một thế hệ nền tảng dữ liệu mở nhằm thống nhất Data Warehousing và Advanced Analytics.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bookmarkStart w:id="12" w:name="_Toc230906691"/>
      <w:r>
        <w:rPr>
          <w:rFonts w:ascii="Times New Roman" w:eastAsia="Times New Roman" w:hAnsi="Times New Roman"/>
          <w:b/>
          <w:sz w:val="26"/>
        </w:rPr>
        <w:t>1.5. KẾT QUẢ DỰ KIẾN ĐẠT ĐƯỢC</w:t>
      </w:r>
      <w:bookmarkEnd w:id="12"/>
    </w:p>
    <w:p w14:paraId="4CBA2FB2" w14:textId="77777777" w:rsidR="00D055F9" w:rsidRDefault="006C5F42">
      <w:pPr>
        <w:spacing w:after="120" w:line="312" w:lineRule="auto"/>
        <w:ind w:firstLine="567"/>
        <w:jc w:val="both"/>
      </w:pPr>
      <w:r>
        <w:rPr>
          <w:rFonts w:eastAsia="Times New Roman"/>
          <w:sz w:val="26"/>
        </w:rPr>
        <w:t>Kết quả dự kiến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2C6F7784" w14:textId="77777777" w:rsidR="00D055F9" w:rsidRDefault="006C5F42">
      <w:pPr>
        <w:spacing w:before="80" w:after="80"/>
        <w:ind w:left="397" w:right="397"/>
        <w:jc w:val="both"/>
      </w:pPr>
      <w:r>
        <w:rPr>
          <w:rFonts w:eastAsia="Times New Roman"/>
          <w:i/>
          <w:sz w:val="24"/>
        </w:rPr>
        <w:t>[NOTE ẢNH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rPr>
          <w:rFonts w:eastAsia="Times New Roman"/>
          <w:i/>
          <w:sz w:val="24"/>
        </w:rPr>
        <w:t>[NOTE ẢNH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14:paraId="0FDC26B1" w14:textId="77777777" w:rsidR="00D055F9" w:rsidRDefault="006C5F42">
            <w:pPr>
              <w:spacing w:line="252" w:lineRule="auto"/>
              <w:jc w:val="both"/>
            </w:pPr>
            <w:r>
              <w:rPr>
                <w:rFonts w:eastAsia="Times New Roman" w:ascii="Times New Roman" w:hAnsi="Times New Roman"/>
                <w:sz w:val="20"/>
              </w:rPr>
              <w:t>lakehouse.silver.call_logs có call_code_predicted</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rPr>
          <w:rFonts w:eastAsia="Times New Roman"/>
          <w:sz w:val="26"/>
        </w:rP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rPr>
          <w:rFonts w:eastAsia="Times New Roman"/>
          <w:sz w:val="26"/>
        </w:rPr>
        <w:t>Debezium là nền tảng CDC mã nguồn mở, thường triển khai trên Kafka Connect.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rPr>
          <w:rFonts w:eastAsia="Times New Roman"/>
          <w:sz w:val="26"/>
        </w:rPr>
        <w:t>Apache Kafka là nền tảng event streaming phân tán, tổ chức dữ liệu theo topic và partition.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79AE9FE1" w14:textId="77777777" w:rsidR="00D055F9" w:rsidRDefault="006C5F42">
      <w:pPr>
        <w:spacing w:before="80" w:after="80"/>
        <w:ind w:left="397" w:right="397"/>
        <w:jc w:val="both"/>
      </w:pPr>
      <w:r>
        <w:rPr>
          <w:rFonts w:eastAsia="Times New Roman"/>
          <w:i/>
          <w:sz w:val="24"/>
        </w:rPr>
        <w:t>[NOTE ẢNH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rPr>
          <w:rFonts w:eastAsia="Times New Roman"/>
          <w:sz w:val="26"/>
        </w:rPr>
        <w:t>Apache Spark là engine xử lý dữ liệu phân tán, hỗ trợ batch, SQL, structured streaming và machine learning. Spark DataFrame API giúp xây dựng pipeline ở mức trừu tượng cao, trong khi Spark SQL hỗ trợ các thao tác bảng như đọc, ghi và MERGE INTO khi kết hợp với Iceberg.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rPr>
          <w:rFonts w:eastAsia="Times New Roman"/>
          <w:sz w:val="26"/>
        </w:rPr>
        <w:t>Apache Iceberg là open table format cho bảng phân tích lớn trên data lake.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0551D35" w14:textId="77777777" w:rsidR="00D055F9" w:rsidRDefault="006C5F42">
      <w:pPr>
        <w:spacing w:before="80" w:after="80"/>
        <w:ind w:left="397" w:right="397"/>
        <w:jc w:val="both"/>
      </w:pPr>
      <w:r>
        <w:rPr>
          <w:rFonts w:eastAsia="Times New Roman"/>
          <w:i/>
          <w:sz w:val="24"/>
        </w:rPr>
        <w:t>[NOTE ẢNH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rPr>
          <w:rFonts w:eastAsia="Times New Roman"/>
          <w:sz w:val="26"/>
        </w:rPr>
        <w:t>Object storage lưu dữ liệu dưới dạng object trong bucket và phù hợp với các workload dữ liệu lớn. MinIO là object storage tương thích S3, có thể triển khai nội bộ bằng Docker. Trong đề tài, MinIO lưu warehouse của Iceberg và các bucket bronze, silver, gold, lakehouse.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rPr>
          <w:rFonts w:eastAsia="Times New Roman"/>
          <w:i/>
          <w:sz w:val="24"/>
        </w:rPr>
        <w:t>[NOTE ẢNH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rPr>
          <w:rFonts w:eastAsia="Times New Roman"/>
          <w:sz w:val="26"/>
        </w:rPr>
        <w:t>Apache Airflow điều phối workflow theo DAG.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Looker Studio có thể kết nối trực tiếp với BigQuery để xây dựng báo cáo tương tác mà không cần triển khai thêm máy chủ BI.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còn dữ liệu phục vụ dashboard có thể đồng bộ sang BigQuery/Superset.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r>
        <w:rPr>
          <w:b w:val="0"/>
        </w:rP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r>
        <w:rPr>
          <w:b w:val="0"/>
        </w:rP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Theo khảo sát self-training của Amini và cộng sự (2022), các mẫu pseudo-label có độ tin cậy cao có thể được bổ sung vào tập huấn luyện, trong khi tập kiểm thử vẫn phải giữ ground truth độc lập.</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 hỗ trợ CDC, lưu được dữ liệu raw và dữ liệu phân tích, hỗ trợ upsert/merge, tích hợp được NLP và phục vụ dashboard.</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wait_for_debezium &gt;&gt; bronze_cdc_ingestion &gt;&gt; silver_etl &gt;&gt; gold_star_schema &gt;&gt; bq_sync_gold</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rPr>
          <w:b w:val="0"/>
        </w:rPr>
        <w:t>Tập dữ liệu chính của đề tài vẫn là bộ dữ liệu telesales do tác giả xây dựng, vì bộ dữ liệu này có đầy đủ customer, offer, call_logs, call_transcript và nhãn nghiệp vụ call_code. Đây là nguồn dữ liệu duy nhất được xem là ground truth cho training, validation, test và cho pipeline phân tích chính.</w:t>
      </w:r>
    </w:p>
    <w:p>
      <w:r>
        <w:rPr>
          <w:b w:val="0"/>
        </w:rPr>
        <w:t>Tuy nhiên, bộ dữ liệu chính là dữ liệu được xây dựng cho bối cảnh đồ án nên cần một cơ sở đối chiếu học thuật để giải thích vì sao các thành phần như call_transcript, talk_time_seconds, PII masking và NLP inference là hợp lý. Vì vậy, nghiên cứu sử dụng CallCenterEN như một external real-world baseline. CallCenterEN không thay thế dữ liệu chính, không được trộn vào test set chính, nhưng được dùng để chứng minh rằng thiết kế dữ liệu của đề tài bám theo các đặc điểm có thật trong dữ liệu call center.</w:t>
      </w:r>
    </w:p>
    <w:p>
      <w:r>
        <w:rPr>
          <w:b w:val="0"/>
        </w:rPr>
        <w:t>Ngoài vai trò đối chiếu, một phần CallCenterEN được đưa vào thí nghiệm huấn luyện phụ. Cụ thể, transcript từ CallCenterEN được lọc thành subset gần với telesales/insurance/customer service, sau đó được gán pseudo-label theo taxonomy call_code. Các nhãn này chỉ được dùng như weak labels trong mô hình phụ trợ, không được xem là nhãn đúng tuyệt đối.</w:t>
      </w:r>
    </w:p>
    <w:p>
      <w:pPr>
        <w:pStyle w:val="Heading3"/>
      </w:pPr>
      <w:r>
        <w:rPr>
          <w:b w:val="0"/>
        </w:rPr>
        <w:t>2.1.5. Từ CallCenterEN đến prompt sinh dataset chính</w:t>
      </w:r>
    </w:p>
    <w:p>
      <w:r>
        <w:rPr>
          <w:b w:val="0"/>
        </w:rPr>
        <w:t>Mạch nghiên cứu của phần dữ liệu được tổ chức theo thứ tự: phân tích CallCenterEN, trích xuất đặc trưng, chuyển đặc trưng thành quy tắc prompt, sau đó dùng prompt để sinh dataset telesales chính. Cách trình bày này giúp giải thích vì sao dataset chính có các trường và nhãn hiện tại, thay vì chỉ mô tả dataset như một kết quả đã có sẵn.</w:t>
      </w:r>
    </w:p>
    <w:p>
      <w:r>
        <w:rPr>
          <w:b w:val="0"/>
        </w:rPr>
        <w:t>Trong bước phân tích nền, nghiên cứu sử dụng 3,000 mẫu CallCenterEN từ baseline_analysis_sample. Tập này không dùng để train trực tiếp. Nó được dùng để quan sát cấu trúc hội thoại, độ dài transcript, duration, PII, hướng cuộc gọi, domain và các hành vi hội thoại thường gặp.</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rPr>
          <w:b w:val="0"/>
        </w:rPr>
        <w:t>Từ bảng trên, prompt sinh dataset chính được thiết kế để bắt buộc transcript có cấu trúc hội thoại rõ ràng: mở đầu cuộc gọi, xác minh hoặc nhắc đến thông tin khách hàng, phân tích nhu cầu, giới thiệu sản phẩm/offer, thảo luận phí hoặc điều kiện, xử lý phản đối và kết thúc bằng outcome.</w:t>
      </w:r>
    </w:p>
    <w:p>
      <w:r>
        <w:rPr>
          <w:b w:val="0"/>
        </w:rPr>
        <w:t>Như vậy, CallCenterEN đóng vai trò cơ sở để xây dựng logic prompt và schema dataset chính. Sau bước này, dataset chính mới được sinh theo bối cảnh telesales tài chính của đồ án, có thêm customer profile, offer, campaign, call metadata và nhãn call_code để phục vụ cả mô hình NLP lẫn star schema phân tích.</w:t>
      </w:r>
    </w:p>
    <w:p>
      <w:r>
        <w:rPr>
          <w:b w:val="0"/>
        </w:rPr>
        <w:t>Cần phân biệt rõ hai con số trong nghiên cứu: 3,000 mẫu CallCenterEN được dùng cho phân tích đặc trưng và thiết kế prompt sinh dataset chính; 300 mẫu pseudo-label là thí nghiệm nhỏ hơn để kiểm tra khả năng dùng CallCenterEN như auxiliary training data.</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rPr>
          <w:rFonts w:ascii="Times New Roman" w:hAnsi="Times New Roman" w:eastAsia="Times New Roman"/>
          <w:sz w:val="24"/>
        </w:rP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BQ_INCLUDE_PII=false.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 khi sync BigQuery thì bị drop nếu BQ_INCLUDE_PII=false.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r>
        <w:rPr>
          <w:b w:val="0"/>
        </w:rPr>
        <w:t>CallCenterEN là tập transcript call center tiếng Anh được công bố công khai trong bài báo Real-World En Call Center Transcripts Dataset with PII Redaction.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baseline và auxiliary corpus</w:t>
            </w:r>
          </w:p>
        </w:tc>
      </w:tr>
      <w:tr>
        <w:tc>
          <w:tcPr>
            <w:tcW w:type="dxa" w:w="3202"/>
          </w:tcPr>
          <w:p>
            <w:r>
              <w:t>Số mẫu</w:t>
            </w:r>
          </w:p>
        </w:tc>
        <w:tc>
          <w:tcPr>
            <w:tcW w:type="dxa" w:w="3202"/>
          </w:tcPr>
          <w:p>
            <w:r>
              <w:t>23,447</w:t>
            </w:r>
          </w:p>
        </w:tc>
        <w:tc>
          <w:tcPr>
            <w:tcW w:type="dxa" w:w="3202"/>
          </w:tcPr>
          <w:p>
            <w:r>
              <w:t>3,000</w:t>
            </w:r>
          </w:p>
        </w:tc>
      </w:tr>
      <w:tr>
        <w:tc>
          <w:tcPr>
            <w:tcW w:type="dxa" w:w="3202"/>
          </w:tcPr>
          <w:p>
            <w:r>
              <w:t>Độ dài transcript trung bình</w:t>
            </w:r>
          </w:p>
        </w:tc>
        <w:tc>
          <w:tcPr>
            <w:tcW w:type="dxa" w:w="3202"/>
          </w:tcPr>
          <w:p>
            <w:r>
              <w:t>897.2545</w:t>
            </w:r>
          </w:p>
        </w:tc>
        <w:tc>
          <w:tcPr>
            <w:tcW w:type="dxa" w:w="3202"/>
          </w:tcPr>
          <w:p>
            <w:r>
              <w:t>3890.2737</w:t>
            </w:r>
          </w:p>
        </w:tc>
      </w:tr>
      <w:tr>
        <w:tc>
          <w:tcPr>
            <w:tcW w:type="dxa" w:w="3202"/>
          </w:tcPr>
          <w:p>
            <w:r>
              <w:t>Số từ trung bình</w:t>
            </w:r>
          </w:p>
        </w:tc>
        <w:tc>
          <w:tcPr>
            <w:tcW w:type="dxa" w:w="3202"/>
          </w:tcPr>
          <w:p>
            <w:r>
              <w:t>151.0447</w:t>
            </w:r>
          </w:p>
        </w:tc>
        <w:tc>
          <w:tcPr>
            <w:tcW w:type="dxa" w:w="3202"/>
          </w:tcPr>
          <w:p>
            <w:r>
              <w:t>644.6783</w:t>
            </w:r>
          </w:p>
        </w:tc>
      </w:tr>
      <w:tr>
        <w:tc>
          <w:tcPr>
            <w:tcW w:type="dxa" w:w="3202"/>
          </w:tcPr>
          <w:p>
            <w:r>
              <w:t>Thời lượng trung bình</w:t>
            </w:r>
          </w:p>
        </w:tc>
        <w:tc>
          <w:tcPr>
            <w:tcW w:type="dxa" w:w="3202"/>
          </w:tcPr>
          <w:p>
            <w:r>
              <w:t>272.8059</w:t>
            </w:r>
          </w:p>
        </w:tc>
        <w:tc>
          <w:tcPr>
            <w:tcW w:type="dxa" w:w="3202"/>
          </w:tcPr>
          <w:p>
            <w:r>
              <w:t>348.4023</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0.9534</w:t>
            </w:r>
          </w:p>
        </w:tc>
      </w:tr>
      <w:tr>
        <w:tc>
          <w:tcPr>
            <w:tcW w:type="dxa" w:w="3202"/>
          </w:tcPr>
          <w:p>
            <w:r>
              <w:t>PII redaction/masking</w:t>
            </w:r>
          </w:p>
        </w:tc>
        <w:tc>
          <w:tcPr>
            <w:tcW w:type="dxa" w:w="3202"/>
          </w:tcPr>
          <w:p>
            <w:r>
              <w:t>Masking ở Silver</w:t>
            </w:r>
          </w:p>
        </w:tc>
        <w:tc>
          <w:tcPr>
            <w:tcW w:type="dxa" w:w="3202"/>
          </w:tcPr>
          <w:p>
            <w:r>
              <w:t>Trung bình 58.8953 token PII/mẫu</w:t>
            </w:r>
          </w:p>
        </w:tc>
      </w:tr>
    </w:tbl>
    <w:p/>
    <w:p>
      <w:r>
        <w:rPr>
          <w:b w:val="0"/>
        </w:rPr>
        <w:t>Bảng so sánh cho thấy CallCenterEN phù hợp để làm cơ sở đối chiếu cấu trúc dữ liệu, nhưng không thể thay thế dataset chính vì thiếu các thực thể nghiệp vụ như customer, offer, campaign và nhãn call_code. Vì vậy, nghiên cứu đặt CallCenterEN ở vai trò external baseline và auxiliary corpus, còn dataset của đề tài giữ vai trò nguồn dữ liệu chính.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r>
        <w:rPr>
          <w:b w:val="0"/>
        </w:rPr>
        <w:t>Quy trình chuẩn bị CallCenterEN được thực hiện theo hai mục tiêu: tạo tập mẫu để phân tích baseline và tạo tập ứng viên cho huấn luyện phụ. Thay vì dùng toàn bộ dữ liệu 92k transcript, nghiên cứu chỉ chọn các nhóm gần với bài toán telesales và customer service như insurance_outbound, auto_insurance_customer_service_inbound, PII_redacted_auto_insurance_script và customer_service_general_inbound.</w:t>
      </w:r>
    </w:p>
    <w:p>
      <w:r>
        <w:rPr>
          <w:b w:val="0"/>
        </w:rPr>
        <w:t>Các điều kiện lọc gồm: ASR confidence từ 0.90 trở lên, thời lượng từ 60 đến 900 giây, độ dài transcript từ 300 đến 6,000 ký tự, transcript không rỗng và loại bỏ trùng lặp bằng hash của normalized text. Sau bước lọc, nghiên cứu tạo baseline_analysis_sample gồm 3,000 mẫu để phân tích đặc trưng và auxiliary_training_candidate gồm 2,000 mẫu để chuẩn bị gán pseudo-label.</w:t>
      </w:r>
    </w:p>
    <w:p>
      <w:r>
        <w:rPr>
          <w:b w:val="0"/>
        </w:rPr>
        <w:t>Để tạo weak labels, nghiên cứu sử dụng Google AI Studio model gemma-4-31b-it gán nhãn theo taxonomy call_code của dataset chính. Tốc độ gọi API được giữ ở mức 15 RPM bằng cách chèn thời gian chờ 4.2 giây giữa các request. Kết quả sinh được 300 dòng pseudo-label, trong đó 295 dòng được đánh dấu có thể dùng cho training. Sau khi merge lại với transcript và lọc nhãn hợp lệ trong taxonomy chính, 294 dòng được dùng trong thí nghiệm auxiliary training.</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Chọn domain gần bài toán</w:t>
            </w:r>
          </w:p>
        </w:tc>
        <w:tc>
          <w:tcPr>
            <w:tcW w:type="dxa" w:w="3202"/>
          </w:tcPr>
          <w:p>
            <w:r>
              <w:t>Giảm domain shift</w:t>
            </w:r>
          </w:p>
        </w:tc>
        <w:tc>
          <w:tcPr>
            <w:tcW w:type="dxa" w:w="3202"/>
          </w:tcPr>
          <w:p>
            <w:r>
              <w:t>Insurance, auto insurance, customer service</w:t>
            </w:r>
          </w:p>
        </w:tc>
      </w:tr>
      <w:tr>
        <w:tc>
          <w:tcPr>
            <w:tcW w:type="dxa" w:w="3202"/>
          </w:tcPr>
          <w:p>
            <w:r>
              <w:t>Lọc chất lượng transcript</w:t>
            </w:r>
          </w:p>
        </w:tc>
        <w:tc>
          <w:tcPr>
            <w:tcW w:type="dxa" w:w="3202"/>
          </w:tcPr>
          <w:p>
            <w:r>
              <w:t>Giữ mẫu đủ dài và có confidence tốt</w:t>
            </w:r>
          </w:p>
        </w:tc>
        <w:tc>
          <w:tcPr>
            <w:tcW w:type="dxa" w:w="3202"/>
          </w:tcPr>
          <w:p>
            <w:r>
              <w:t>confidence &gt;= 0.90, duration 60-900s, text 300-6000 chars</w:t>
            </w:r>
          </w:p>
        </w:tc>
      </w:tr>
      <w:tr>
        <w:tc>
          <w:tcPr>
            <w:tcW w:type="dxa" w:w="3202"/>
          </w:tcPr>
          <w:p>
            <w:r>
              <w:t>Deduplicate</w:t>
            </w:r>
          </w:p>
        </w:tc>
        <w:tc>
          <w:tcPr>
            <w:tcW w:type="dxa" w:w="3202"/>
          </w:tcPr>
          <w:p>
            <w:r>
              <w:t>Loại bỏ transcript trùng</w:t>
            </w:r>
          </w:p>
        </w:tc>
        <w:tc>
          <w:tcPr>
            <w:tcW w:type="dxa" w:w="3202"/>
          </w:tcPr>
          <w:p>
            <w:r>
              <w:t>Hash theo normalized text</w:t>
            </w:r>
          </w:p>
        </w:tc>
      </w:tr>
      <w:tr>
        <w:tc>
          <w:tcPr>
            <w:tcW w:type="dxa" w:w="3202"/>
          </w:tcPr>
          <w:p>
            <w:r>
              <w:t>Tạo baseline sample</w:t>
            </w:r>
          </w:p>
        </w:tc>
        <w:tc>
          <w:tcPr>
            <w:tcW w:type="dxa" w:w="3202"/>
          </w:tcPr>
          <w:p>
            <w:r>
              <w:t>Phân tích cơ sở dữ liệu tham chiếu</w:t>
            </w:r>
          </w:p>
        </w:tc>
        <w:tc>
          <w:tcPr>
            <w:tcW w:type="dxa" w:w="3202"/>
          </w:tcPr>
          <w:p>
            <w:r>
              <w:t>3,000 mẫu</w:t>
            </w:r>
          </w:p>
        </w:tc>
      </w:tr>
      <w:tr>
        <w:tc>
          <w:tcPr>
            <w:tcW w:type="dxa" w:w="3202"/>
          </w:tcPr>
          <w:p>
            <w:r>
              <w:t>Tạo auxiliary candidate</w:t>
            </w:r>
          </w:p>
        </w:tc>
        <w:tc>
          <w:tcPr>
            <w:tcW w:type="dxa" w:w="3202"/>
          </w:tcPr>
          <w:p>
            <w:r>
              <w:t>Chuẩn bị gán nhãn phụ</w:t>
            </w:r>
          </w:p>
        </w:tc>
        <w:tc>
          <w:tcPr>
            <w:tcW w:type="dxa" w:w="3202"/>
          </w:tcPr>
          <w:p>
            <w:r>
              <w:t>2,000 mẫu</w:t>
            </w:r>
          </w:p>
        </w:tc>
      </w:tr>
      <w:tr>
        <w:tc>
          <w:tcPr>
            <w:tcW w:type="dxa" w:w="3202"/>
          </w:tcPr>
          <w:p>
            <w:r>
              <w:t>AI pseudo-labeling</w:t>
            </w:r>
          </w:p>
        </w:tc>
        <w:tc>
          <w:tcPr>
            <w:tcW w:type="dxa" w:w="3202"/>
          </w:tcPr>
          <w:p>
            <w:r>
              <w:t>Gán nhãn yếu theo call_code</w:t>
            </w:r>
          </w:p>
        </w:tc>
        <w:tc>
          <w:tcPr>
            <w:tcW w:type="dxa" w:w="3202"/>
          </w:tcPr>
          <w:p>
            <w:r>
              <w:t>300 pseudo-label, 294 dòng dùng trong training</w:t>
            </w:r>
          </w:p>
        </w:tc>
      </w:tr>
    </w:tbl>
    <w:p/>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
      <w:r>
        <w:rPr>
          <w:b w:val="0"/>
        </w:rPr>
        <w:t>Các pseudo-label này không được xem là ground truth. Chúng chỉ đóng vai trò tín hiệu phụ trợ để kiểm tra giả thuyết rằng transcript call center thực tế có thể cải thiện nhẹ khả năng tổng quát hóa của mô hình phân loại call_code.</w:t>
      </w:r>
    </w:p>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NLP_MODEL_TYPE=bow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không nhận call_code_original và không nhận call_code_predicted. Các tầng phân tích chỉ giữ call_code do mô hình sinh ra, cùng các cờ nghiệp vụ được suy ra từ call_code như has_successful_sale, has_hard_rejection, has_soft_rejection, has_do_not_call và has_objection.</w:t>
      </w:r>
    </w:p>
    <w:p>
      <w:pPr>
        <w:pStyle w:val="Heading3"/>
      </w:pPr>
      <w:r>
        <w:rPr>
          <w:b w:val="0"/>
        </w:rPr>
        <w:t>2.6.7. Cấu hình thí nghiệm auxiliary training</w:t>
      </w:r>
    </w:p>
    <w:p>
      <w:r>
        <w:rPr>
          <w:b w:val="0"/>
        </w:rPr>
        <w:t>Sau khi có pseudo-label, nghiên cứu thiết kế thí nghiệm M0/M3 để đo đóng góp thực tế của CallCenterEN. M0 là mô hình BoW + Logistic Regression huấn luyện chỉ trên dataset chính. M3 giữ nguyên cấu hình mô hình nhưng bổ sung pseudo-labeled CallCenterEN vào tập huấn luyện. Validation và test set không thay đổi, vẫn lấy hoàn toàn từ dataset chính.</w:t>
      </w:r>
    </w:p>
    <w:p>
      <w:r>
        <w:rPr>
          <w:b w:val="0"/>
        </w:rPr>
        <w:t>Thiết kế này đảm bảo CallCenterEN tham gia training nhưng không làm thay đổi nguồn ground truth. Nếu M3 cải thiện so với M0, điều đó cho thấy external corpus có thể mang lại tín hiệu ngôn ngữ hữu ích. Nếu M3 không cải thiện, kết quả vẫn có giá trị vì nó phản ánh rủi ro domain shift và noisy labels trong weak supervision.</w:t>
      </w:r>
    </w:p>
    <w:p>
      <w:r>
        <w:rPr>
          <w:b w:val="0"/>
        </w:rPr>
        <w:t>Hướng domain-adaptive pretraining cũng được đặt trong thiết kế nghiên cứu như một nhánh mở rộng cho mô hình Transformer. Với mô hình vận hành hiện tại là BoW + Logistic Regression, phần thực nghiệm khả thi trong đồ án tập trung vào weak-label training. Tuy vậy, CallCenterEN vẫn được xác định là corpus phù hợp để tiếp tục pretrain RoBERTa/BERT trong hướng phát triển sau.</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supervised chính</w:t>
            </w:r>
          </w:p>
        </w:tc>
      </w:tr>
      <w:tr>
        <w:tc>
          <w:tcPr>
            <w:tcW w:type="dxa" w:w="2401"/>
          </w:tcPr>
          <w:p>
            <w:r>
              <w:t>M3</w:t>
            </w:r>
          </w:p>
        </w:tc>
        <w:tc>
          <w:tcPr>
            <w:tcW w:type="dxa" w:w="2401"/>
          </w:tcPr>
          <w:p>
            <w:r>
              <w:t>Dataset chính + pseudo-labeled CallCenterEN</w:t>
            </w:r>
          </w:p>
        </w:tc>
        <w:tc>
          <w:tcPr>
            <w:tcW w:type="dxa" w:w="2401"/>
          </w:tcPr>
          <w:p>
            <w:r>
              <w:t>Validation/test của dataset chính</w:t>
            </w:r>
          </w:p>
        </w:tc>
        <w:tc>
          <w:tcPr>
            <w:tcW w:type="dxa" w:w="2401"/>
          </w:tcPr>
          <w:p>
            <w:r>
              <w:t>Đo tác động của weak auxiliary corpus</w:t>
            </w:r>
          </w:p>
        </w:tc>
      </w:tr>
      <w:tr>
        <w:tc>
          <w:tcPr>
            <w:tcW w:type="dxa" w:w="2401"/>
          </w:tcPr>
          <w:p>
            <w:r>
              <w:t>M2 mở rộng</w:t>
            </w:r>
          </w:p>
        </w:tc>
        <w:tc>
          <w:tcPr>
            <w:tcW w:type="dxa" w:w="2401"/>
          </w:tcPr>
          <w:p>
            <w:r>
              <w:t>CallCenterEN DAPT + dataset chính fine-tune</w:t>
            </w:r>
          </w:p>
        </w:tc>
        <w:tc>
          <w:tcPr>
            <w:tcW w:type="dxa" w:w="2401"/>
          </w:tcPr>
          <w:p>
            <w:r>
              <w:t>Validation/test của dataset chính</w:t>
            </w:r>
          </w:p>
        </w:tc>
        <w:tc>
          <w:tcPr>
            <w:tcW w:type="dxa" w:w="2401"/>
          </w:tcPr>
          <w:p>
            <w:r>
              <w:t>Hướng tiếp theo cho Transformer</w:t>
            </w:r>
          </w:p>
        </w:tc>
      </w:tr>
    </w:tbl>
    <w:p/>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rPr>
          <w:rFonts w:ascii="Times New Roman" w:hAnsi="Times New Roman" w:eastAsia="Times New Roman"/>
          <w:sz w:val="24"/>
        </w:rP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BQ_INCLUDE_PII=false.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rPr>
          <w:rFonts w:ascii="Times New Roman" w:hAnsi="Times New Roman" w:eastAsia="Times New Roman"/>
          <w:sz w:val="24"/>
        </w:rPr>
        <w:t>Thiết kế bq_sync_job.py có biến BQ_INCLUDE_PII. Khi false, dim_customer bị drop full_name và address trước khi ghi BigQuery. Đây là một điểm thiết kế quan trọng cần đưa vào báo cáo vì nó chứng minh security không chỉ nằm ở lý thuyết mà đã được hiện thực trong code.</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rPr>
          <w:rFonts w:ascii="Times New Roman" w:hAnsi="Times New Roman" w:eastAsia="Times New Roman"/>
          <w:sz w:val="24"/>
        </w:rPr>
        <w:t>Về mặt báo cáo, cần giải thích MERGE INTO không chỉ là chi tiết code mà là cơ chế đảm bảo bảng phân tích không bị append duplicate sau mỗi lần chạy. Nếu Airflow chạy lại silver_etl hoặc gold_star_schema,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rPr>
          <w:rFonts w:ascii="Times New Roman" w:hAnsi="Times New Roman" w:eastAsia="Times New Roman"/>
          <w:sz w:val="24"/>
        </w:rPr>
        <w:t>Airflow DAG telesales_lakehouse_pipeline điều phối pipeline theo thứ tự wait_for_debezium_connector, bronze_cdc_ingestion, silver_etl, gold_star_schema và bq_sync_gold. DAG có schedule_interval 0 2 * * * và catchup=false, đồng thời có thể trigger thủ công qua Airflow UI. Bronze vốn là Spark Structured Streaming job, nhưng trong Airflow được chạy với TRIGGER_ONCE=true để xử lý hết Kafka offsets hiện có rồi dừng, phù hợp với mô hình task batch.</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PythonSensor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Chờ connector mongo-source sẵn sàng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Timeout 300 giây, reschedule mode.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bronze_cdc_ingestion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bronze_job.py đọc Kafka và ghi 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TRIGGER_ONCE=true để task streaming kết thúc được trong Airflow.</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silver_etl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silver_job.py parse, mask, dedup, NLP</w:t>
            </w:r>
          </w:p>
        </w:tc>
        <w:tc>
          <w:tcPr>
            <w:tcW w:type="dxa" w:w="2268"/>
            <w:tcMar>
              <w:top w:w="80" w:type="dxa"/>
              <w:start w:w="120" w:type="dxa"/>
              <w:bottom w:w="80" w:type="dxa"/>
              <w:end w:w="120" w:type="dxa"/>
            </w:tcMar>
            <w:vAlign w:val="center"/>
          </w:tcPr>
          <w:p>
            <w:r>
              <w:rPr>
                <w:rFonts w:ascii="Times New Roman" w:hAnsi="Times New Roman" w:eastAsia="Times New Roman"/>
                <w:sz w:val="20"/>
              </w:rPr>
              <w:t>Mount roberta_saved và label_classes.json; BoW chỉ là baseline/fallback.</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gold_star_schema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gold_job.py tạo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bằng MERGE INTO Iceberg.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bq_sync_gold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BashOperator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Đồng bộ Gold sang BigQuery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BQ_INCLUDE_PII=false để không publish full_name/address.</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rPr>
          <w:rFonts w:ascii="Times New Roman" w:hAnsi="Times New Roman" w:eastAsia="Times New Roman"/>
          <w:sz w:val="24"/>
        </w:rPr>
        <w:t>bq_sync_job.py đọc bốn bảng Gold từ Iceberg và ghi sang BigQuery dataset kltn0710. Các bảng gồm dim_customer, dim_offer, dim_date và fact_telesales_calls. Nếu BQ_INCLUDE_PII=false, dim_customer sẽ drop full_name và address trước khi ghi. Đây là bước bảo vệ dữ liệu ở lớp publish, đặc biệt khi BigQuery/Looker Studio có thể được dùng bởi nhiều người hơn hạ tầng lakehouse local.</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drop full_name, address nếu BQ_INCLUDE_PII=false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 không chứa full_name/address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rPr>
          <w:rFonts w:ascii="Times New Roman" w:hAnsi="Times New Roman" w:eastAsia="Times New Roman"/>
          <w:sz w:val="24"/>
        </w:rP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RoBERTa, đồng thời giữ BoW làm fallback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 -&gt; bronze_cdc_ingestion -&gt; silver_etl -&gt; gold_star_schema -&gt; bq_sync_gold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end-to-end có dependency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call_code_original và call_code_predicted là array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một transcript và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dim_customer không có full_name/address khi BQ_INCLUDE_PII=false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rPr>
          <w:rFonts w:ascii="Times New Roman" w:hAnsi="Times New Roman" w:eastAsia="Times New Roman"/>
          <w:sz w:val="24"/>
        </w:rPr>
        <w:t>Điểm cần kiểm tra thêm là dim_customer trong BigQuery không chứa full_name và address khi BQ_INCLUDE_PII=false.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Superset phục vụ dashboard BI, còn dashboard tĩnh giúp xem nhanh file dashboard_data.json. Các biểu đồ nên xoay quanh các KPI chính: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rPr>
          <w:rFonts w:ascii="Times New Roman" w:hAnsi="Times New Roman" w:eastAsia="Times New Roman"/>
          <w:sz w:val="24"/>
        </w:rPr>
        <w:t>Khi chụp hình dashboard, nên ưu tiên hình có dữ liệu thật từ Gold/BigQuery, không dùng mock UI rỗng. Caption cần nêu rõ dashboard đọc từ lớp nào, ví dụ từ vw_telesales_performance hoặc dashboard_data.json được export từ Gold. Điều này giúp hình ảnh liên kết với kiến trúc dữ liệu, không chỉ là minh họa giao diện.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call_code_original hoặc call_code_predicted. BigQuery sync cũng loại các cột nhạy cảm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rPr>
          <w:b w:val="0"/>
        </w:rPr>
        <w:t>4.5.5. Thực nghiệm auxiliary training với CallCenterEN</w:t>
      </w:r>
    </w:p>
    <w:p>
      <w:r>
        <w:rPr>
          <w:b w:val="0"/>
        </w:rPr>
        <w:t>Thực nghiệm auxiliary training được chạy sau khi đã tạo 300 pseudo-label từ CallCenterEN. Trong đó, 294 dòng được dùng trong training sau khi lọc các nhãn hợp lệ và merge lại với transcript. Cấu hình M0 và M3 sử dụng cùng pipeline BoW + Logistic Regression để đảm bảo so sánh công bằng.</w:t>
      </w:r>
    </w:p>
    <w:p>
      <w:r>
        <w:rPr>
          <w:b w:val="0"/>
        </w:rPr>
        <w:t>Điểm quan trọng của thiết kế đánh giá là CallCenterEN không được đưa vào validation hoặc test set. Toàn bộ kết quả bên dưới được đo trên split validation/test gốc của dataset chính. Vì vậy, kết quả phản ánh tác động của auxiliary data đến bài toán call_code của đề tài, không phải độ chính xác trên CallCenterEN.</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1732</w:t>
            </w:r>
          </w:p>
        </w:tc>
        <w:tc>
          <w:tcPr>
            <w:tcW w:type="dxa" w:w="1201"/>
          </w:tcPr>
          <w:p>
            <w:r>
              <w:t>0.2610</w:t>
            </w:r>
          </w:p>
        </w:tc>
        <w:tc>
          <w:tcPr>
            <w:tcW w:type="dxa" w:w="1201"/>
          </w:tcPr>
          <w:p>
            <w:r>
              <w:t>0.7298</w:t>
            </w:r>
          </w:p>
        </w:tc>
        <w:tc>
          <w:tcPr>
            <w:tcW w:type="dxa" w:w="1201"/>
          </w:tcPr>
          <w:p>
            <w:r>
              <w:t>0.6501</w:t>
            </w:r>
          </w:p>
        </w:tc>
        <w:tc>
          <w:tcPr>
            <w:tcW w:type="dxa" w:w="1201"/>
          </w:tcPr>
          <w:p>
            <w:r>
              <w:t>0.7316</w:t>
            </w:r>
          </w:p>
        </w:tc>
        <w:tc>
          <w:tcPr>
            <w:tcW w:type="dxa" w:w="1201"/>
          </w:tcPr>
          <w:p>
            <w:r>
              <w:t>0.0691</w:t>
            </w:r>
          </w:p>
        </w:tc>
      </w:tr>
      <w:tr>
        <w:tc>
          <w:tcPr>
            <w:tcW w:type="dxa" w:w="1201"/>
          </w:tcPr>
          <w:p>
            <w:r>
              <w:t>M3_primary_plus_callcenteren_pseudo_bow</w:t>
            </w:r>
          </w:p>
        </w:tc>
        <w:tc>
          <w:tcPr>
            <w:tcW w:type="dxa" w:w="1201"/>
          </w:tcPr>
          <w:p>
            <w:r>
              <w:t>14151</w:t>
            </w:r>
          </w:p>
        </w:tc>
        <w:tc>
          <w:tcPr>
            <w:tcW w:type="dxa" w:w="1201"/>
          </w:tcPr>
          <w:p>
            <w:r>
              <w:t>1732</w:t>
            </w:r>
          </w:p>
        </w:tc>
        <w:tc>
          <w:tcPr>
            <w:tcW w:type="dxa" w:w="1201"/>
          </w:tcPr>
          <w:p>
            <w:r>
              <w:t>0.2604</w:t>
            </w:r>
          </w:p>
        </w:tc>
        <w:tc>
          <w:tcPr>
            <w:tcW w:type="dxa" w:w="1201"/>
          </w:tcPr>
          <w:p>
            <w:r>
              <w:t>0.7300</w:t>
            </w:r>
          </w:p>
        </w:tc>
        <w:tc>
          <w:tcPr>
            <w:tcW w:type="dxa" w:w="1201"/>
          </w:tcPr>
          <w:p>
            <w:r>
              <w:t>0.6494</w:t>
            </w:r>
          </w:p>
        </w:tc>
        <w:tc>
          <w:tcPr>
            <w:tcW w:type="dxa" w:w="1201"/>
          </w:tcPr>
          <w:p>
            <w:r>
              <w:t>0.7318</w:t>
            </w:r>
          </w:p>
        </w:tc>
        <w:tc>
          <w:tcPr>
            <w:tcW w:type="dxa" w:w="1201"/>
          </w:tcPr>
          <w:p>
            <w:r>
              <w:t>0.0690</w:t>
            </w:r>
          </w:p>
        </w:tc>
      </w:tr>
    </w:tbl>
    <w:p/>
    <w:p>
      <w:r>
        <w:rPr>
          <w:b w:val="0"/>
        </w:rPr>
        <w:t>Bảng trên là kết quả trên validation set.</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1733</w:t>
            </w:r>
          </w:p>
        </w:tc>
        <w:tc>
          <w:tcPr>
            <w:tcW w:type="dxa" w:w="1201"/>
          </w:tcPr>
          <w:p>
            <w:r>
              <w:t>0.2539</w:t>
            </w:r>
          </w:p>
        </w:tc>
        <w:tc>
          <w:tcPr>
            <w:tcW w:type="dxa" w:w="1201"/>
          </w:tcPr>
          <w:p>
            <w:r>
              <w:t>0.7251</w:t>
            </w:r>
          </w:p>
        </w:tc>
        <w:tc>
          <w:tcPr>
            <w:tcW w:type="dxa" w:w="1201"/>
          </w:tcPr>
          <w:p>
            <w:r>
              <w:t>0.6397</w:t>
            </w:r>
          </w:p>
        </w:tc>
        <w:tc>
          <w:tcPr>
            <w:tcW w:type="dxa" w:w="1201"/>
          </w:tcPr>
          <w:p>
            <w:r>
              <w:t>0.7260</w:t>
            </w:r>
          </w:p>
        </w:tc>
        <w:tc>
          <w:tcPr>
            <w:tcW w:type="dxa" w:w="1201"/>
          </w:tcPr>
          <w:p>
            <w:r>
              <w:t>0.0703</w:t>
            </w:r>
          </w:p>
        </w:tc>
      </w:tr>
      <w:tr>
        <w:tc>
          <w:tcPr>
            <w:tcW w:type="dxa" w:w="1201"/>
          </w:tcPr>
          <w:p>
            <w:r>
              <w:t>M3_primary_plus_callcenteren_pseudo_bow</w:t>
            </w:r>
          </w:p>
        </w:tc>
        <w:tc>
          <w:tcPr>
            <w:tcW w:type="dxa" w:w="1201"/>
          </w:tcPr>
          <w:p>
            <w:r>
              <w:t>14151</w:t>
            </w:r>
          </w:p>
        </w:tc>
        <w:tc>
          <w:tcPr>
            <w:tcW w:type="dxa" w:w="1201"/>
          </w:tcPr>
          <w:p>
            <w:r>
              <w:t>1733</w:t>
            </w:r>
          </w:p>
        </w:tc>
        <w:tc>
          <w:tcPr>
            <w:tcW w:type="dxa" w:w="1201"/>
          </w:tcPr>
          <w:p>
            <w:r>
              <w:t>0.2539</w:t>
            </w:r>
          </w:p>
        </w:tc>
        <w:tc>
          <w:tcPr>
            <w:tcW w:type="dxa" w:w="1201"/>
          </w:tcPr>
          <w:p>
            <w:r>
              <w:t>0.7261</w:t>
            </w:r>
          </w:p>
        </w:tc>
        <w:tc>
          <w:tcPr>
            <w:tcW w:type="dxa" w:w="1201"/>
          </w:tcPr>
          <w:p>
            <w:r>
              <w:t>0.6413</w:t>
            </w:r>
          </w:p>
        </w:tc>
        <w:tc>
          <w:tcPr>
            <w:tcW w:type="dxa" w:w="1201"/>
          </w:tcPr>
          <w:p>
            <w:r>
              <w:t>0.7270</w:t>
            </w:r>
          </w:p>
        </w:tc>
        <w:tc>
          <w:tcPr>
            <w:tcW w:type="dxa" w:w="1201"/>
          </w:tcPr>
          <w:p>
            <w:r>
              <w:t>0.0700</w:t>
            </w:r>
          </w:p>
        </w:tc>
      </w:tr>
    </w:tbl>
    <w:p/>
    <w:p>
      <w:r>
        <w:rPr>
          <w:b w:val="0"/>
        </w:rPr>
        <w:t>Trên test set, M3 tăng micro-F1 từ 0.7251 lên 0.7261 và macro-F1 từ 0.6397 lên 0.6413. Mức cải thiện nhỏ nhưng có hướng tích cực, đủ để kết luận rằng CallCenterEN có thể đóng góp như auxiliary corpus trong một pilot experiment.</w:t>
      </w:r>
    </w:p>
    <w:p>
      <w:r>
        <w:rPr>
          <w:b w:val="0"/>
        </w:rPr>
        <w:t>Kết quả không nên được diễn giải quá mức thành một cải thiện lớn của mô hình. Nó cho thấy quy trình weak-label training là khả thi và có kết nối thực tế với mô hình hiện tại. Các thí nghiệm mở rộng có thể tăng số pseudo-label lên 1,000-2,000 mẫu, kiểm tra thủ công một phần nhãn, hoặc chuyển sang domain-adaptive pretraining cho mô hình Transformer.</w:t>
      </w:r>
    </w:p>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rPr>
          <w:rFonts w:ascii="Times New Roman" w:hAnsi="Times New Roman" w:eastAsia="Times New Roman"/>
          <w:sz w:val="24"/>
        </w:rPr>
        <w:t>Tuy nhiên, Bronze là append log của CDC. Nếu reset checkpoint hoặc replay Kafka từ earliest, Bronze có thể có thêm bản ghi. Điều này không sai nếu Bronze được xem như log raw, nhưng Silver phải deduplicate để đảm bảo bảng sạch không duplicate. Báo cáo nên giải thích rõ vai trò khác nhau của Bronze append và Silver/Gold upsert.</w:t>
      </w:r>
    </w:p>
    <w:p>
      <w:pPr>
        <w:pStyle w:val="Heading3"/>
        <w:keepNext/>
      </w:pPr>
      <w:r>
        <w:rPr>
          <w:rFonts w:ascii="Times New Roman" w:hAnsi="Times New Roman" w:eastAsia="Times New Roman"/>
        </w:rPr>
        <w:t>4.6.2. Các lỗi thực nghiệm đã ghi nhận</w:t>
      </w:r>
    </w:p>
    <w:p>
      <w:pPr>
        <w:spacing w:line="324" w:lineRule="auto" w:after="120"/>
        <w:ind w:firstLine="432"/>
        <w:jc w:val="both"/>
      </w:pPr>
      <w:r>
        <w:rPr>
          <w:rFonts w:ascii="Times New Roman" w:hAnsi="Times New Roman" w:eastAsia="Times New Roman"/>
          <w:sz w:val="24"/>
        </w:rPr>
        <w:t>thiếu dependency cho scikit-learn/joblib/PyTorch/Transformers</w:t>
      </w:r>
    </w:p>
    <w:p>
      <w:pPr>
        <w:spacing w:line="324" w:lineRule="auto" w:after="120"/>
        <w:ind w:firstLine="432"/>
        <w:jc w:val="both"/>
      </w:pPr>
      <w:r>
        <w:rPr>
          <w:rFonts w:ascii="Times New Roman" w:hAnsi="Times New Roman" w:eastAsia="Times New Roman"/>
          <w:sz w:val="24"/>
        </w:rPr>
        <w:t>Ngoài lỗi runtime, dữ liệu cũng có lỗi chất lượng như full_date null do timestamp parse lỗi. Thay vì chỉ nói pipeline thành công, báo cáo nên nêu cả lỗi và cách xử lý. Đây là điểm tạo độ tin cậy cho đồ án: hệ thống dữ liệu thực tế luôn có dữ liệu bẩn, schema lệch và dependency mismatch.</w:t>
      </w:r>
    </w:p>
    <w:p>
      <w:r>
        <w:br w:type="page"/>
      </w:r>
    </w:p>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rPr>
          <w:b w:val="0"/>
        </w:rPr>
        <w:t>5.2.4. Đóng góp từ external baseline và auxiliary corpus</w:t>
      </w:r>
    </w:p>
    <w:p>
      <w:r>
        <w:rPr>
          <w:b w:val="0"/>
        </w:rPr>
        <w:t>Việc đưa CallCenterEN vào nghiên cứu tạo ra hai đóng góp bổ sung. Thứ nhất, nó cung cấp cơ sở học thuật để giải thích thiết kế dataset của đề tài, đặc biệt là transcript hội thoại, thời lượng cuộc gọi, PII masking và NLP trên dữ liệu phi cấu trúc. Thứ hai, nó chứng minh dataset ngoài có thể tham gia training như auxiliary corpus thông qua pseudo-labeling, trong khi dataset chính vẫn giữ vai trò ground truth.</w:t>
      </w:r>
    </w:p>
    <w:p>
      <w:r>
        <w:rPr>
          <w:b w:val="0"/>
        </w:rPr>
        <w:t>Cách tiếp cận này giúp tránh hai cực đoan: không xem dữ liệu tổng hợp của đề tài là vô căn cứ, nhưng cũng không đánh tráo dataset chính bằng một public dataset thiếu nhãn nghiệp vụ. CallCenterEN được đặt đúng vai trò: external baseline để đối chiếu và corpus phụ trợ để thử nghiệm mở rộng mô hình.</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r>
              <w:rPr>
                <w:rFonts w:ascii="Times New Roman" w:hAnsi="Times New Roman" w:eastAsia="Times New Roman"/>
                <w:sz w:val="20"/>
              </w:rPr>
              <w:t>RoBERTa là mô hình chính nhưng runtime nặng hơn BoW trong local demo</w:t>
            </w:r>
          </w:p>
        </w:tc>
        <w:tc>
          <w:tcPr>
            <w:tcW w:type="dxa" w:w="3025"/>
            <w:tcMar>
              <w:top w:w="80" w:type="dxa"/>
              <w:start w:w="120" w:type="dxa"/>
              <w:bottom w:w="80" w:type="dxa"/>
              <w:end w:w="120" w:type="dxa"/>
            </w:tcMar>
            <w:vAlign w:val="center"/>
          </w:tcPr>
          <w:p>
            <w:r>
              <w:rPr>
                <w:rFonts w:ascii="Times New Roman" w:hAnsi="Times New Roman" w:eastAsia="Times New Roman"/>
                <w:sz w:val="20"/>
              </w:rPr>
              <w:t>Dùng batch inference/model serving cho RoBERTa, đánh giá thêm threshold theo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r>
        <w:rPr>
          <w:b w:val="0"/>
        </w:rPr>
        <w:t>CallCenterEN là dữ liệu tiếng Anh và đa miền, trong đó một số domain như Medicare hoặc automotive không trùng hoàn toàn với telesales tài chính. Vì vậy, việc sử dụng dữ liệu này cần lọc domain và kiểm soát domain shift. Trong thí nghiệm hiện tại, nghiên cứu chỉ dùng subset gần với insurance/customer service.</w:t>
      </w:r>
    </w:p>
    <w:p>
      <w:r>
        <w:rPr>
          <w:b w:val="0"/>
        </w:rPr>
        <w:t>Pseudo-label do AI sinh ra có thể chứa nhiễu, đặc biệt với các nhãn outcome như SUCCESSFUL_SALE hoặc SUDDEN_HANG_UP khi transcript không biểu hiện rõ kết quả. Do đó, các nhãn này không được dùng làm ground truth và không được đưa vào test set. Hướng phát triển tiếp theo là review thủ công một phần pseudo-label, tăng kích thước mẫu và thử domain-adaptive pretraining với mô hình Transformer.</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rPr>
          <w:rFonts w:ascii="Times New Roman" w:hAnsi="Times New Roman" w:eastAsia="Times New Roman"/>
          <w:sz w:val="24"/>
        </w:rP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RoBERTa ở Silver, xây dựng Star Schema ở Gold và phục vụ dashboard qua BigQuery/Superset. Báo cáo đã xác định rõ dataset được sử dụng, notebook sinh dữ liệu, mô hình sinh dữ liệu, schema, số lượng bản ghi và giới hạn chất lượng của dữ liệu tổng hợp.</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1"/>
        <w:keepNext/>
      </w:pPr>
      <w:r>
        <w:rPr>
          <w:rFonts w:ascii="Times New Roman" w:hAnsi="Times New Roman" w:eastAsia="Times New Roman"/>
        </w:rPr>
        <w:t>TÀI LIỆU THAM KHẢO</w:t>
      </w:r>
    </w:p>
    <w:p>
      <w:pPr>
        <w:spacing w:line="324" w:lineRule="auto" w:after="120"/>
        <w:ind w:firstLine="432"/>
        <w:jc w:val="both"/>
      </w:pPr>
      <w:r>
        <w:rPr>
          <w:rFonts w:ascii="Times New Roman" w:hAnsi="Times New Roman" w:eastAsia="Times New Roman"/>
          <w:sz w:val="24"/>
        </w:rPr>
        <w:t>[1] Google Developers Blog, Introducing Gemma 3: The Developer Guide, https://developers.googleblog.com/en/introducing-gemma3/</w:t>
      </w:r>
    </w:p>
    <w:p>
      <w:pPr>
        <w:spacing w:line="324" w:lineRule="auto" w:after="120"/>
        <w:ind w:firstLine="432"/>
        <w:jc w:val="both"/>
      </w:pPr>
      <w:r>
        <w:rPr>
          <w:rFonts w:ascii="Times New Roman" w:hAnsi="Times New Roman" w:eastAsia="Times New Roman"/>
          <w:sz w:val="24"/>
        </w:rPr>
        <w:t>[2] Google AI for Developers, Gemma documentation, https://ai.google.dev/gemma/docs</w:t>
      </w:r>
    </w:p>
    <w:p>
      <w:pPr>
        <w:spacing w:line="324" w:lineRule="auto" w:after="120"/>
        <w:ind w:firstLine="432"/>
        <w:jc w:val="both"/>
      </w:pPr>
      <w:r>
        <w:rPr>
          <w:rFonts w:ascii="Times New Roman" w:hAnsi="Times New Roman" w:eastAsia="Times New Roman"/>
          <w:sz w:val="24"/>
        </w:rPr>
        <w:t>[3] Google Cloud, Gemini 2.5 Flash model card/documentation, https://cloud.google.com/vertex-ai/generative-ai/docs/models/gemini/2-5-flash</w:t>
      </w:r>
    </w:p>
    <w:p>
      <w:pPr>
        <w:spacing w:line="324" w:lineRule="auto" w:after="120"/>
        <w:ind w:firstLine="432"/>
        <w:jc w:val="both"/>
      </w:pPr>
      <w:r>
        <w:rPr>
          <w:rFonts w:ascii="Times New Roman" w:hAnsi="Times New Roman" w:eastAsia="Times New Roman"/>
          <w:sz w:val="24"/>
        </w:rPr>
        <w:t>[4] Debezium Documentation, MongoDB connector, https://debezium.io/documentation/reference/stable/connectors/mongodb.html</w:t>
      </w:r>
    </w:p>
    <w:p>
      <w:pPr>
        <w:spacing w:line="324" w:lineRule="auto" w:after="120"/>
        <w:ind w:firstLine="432"/>
        <w:jc w:val="both"/>
      </w:pPr>
      <w:r>
        <w:rPr>
          <w:rFonts w:ascii="Times New Roman" w:hAnsi="Times New Roman" w:eastAsia="Times New Roman"/>
          <w:sz w:val="24"/>
        </w:rPr>
        <w:t>[5] Apache Kafka Documentation, https://kafka.apache.org/documentation/</w:t>
      </w:r>
    </w:p>
    <w:p>
      <w:pPr>
        <w:spacing w:line="324" w:lineRule="auto" w:after="120"/>
        <w:ind w:firstLine="432"/>
        <w:jc w:val="both"/>
      </w:pPr>
      <w:r>
        <w:rPr>
          <w:rFonts w:ascii="Times New Roman" w:hAnsi="Times New Roman" w:eastAsia="Times New Roman"/>
          <w:sz w:val="24"/>
        </w:rPr>
        <w:t>[6] Apache Spark Documentation, Structured Streaming Programming Guide, https://spark.apache.org/docs/latest/structured-streaming-programming-guide.html</w:t>
      </w:r>
    </w:p>
    <w:p>
      <w:pPr>
        <w:spacing w:line="324" w:lineRule="auto" w:after="120"/>
        <w:ind w:firstLine="432"/>
        <w:jc w:val="both"/>
      </w:pPr>
      <w:r>
        <w:rPr>
          <w:rFonts w:ascii="Times New Roman" w:hAnsi="Times New Roman" w:eastAsia="Times New Roman"/>
          <w:sz w:val="24"/>
        </w:rPr>
        <w:t>[7] Apache Iceberg Documentation, https://iceberg.apache.org/docs/latest/</w:t>
      </w:r>
    </w:p>
    <w:p>
      <w:pPr>
        <w:spacing w:line="324" w:lineRule="auto" w:after="120"/>
        <w:ind w:firstLine="432"/>
        <w:jc w:val="both"/>
      </w:pPr>
      <w:r>
        <w:rPr>
          <w:rFonts w:ascii="Times New Roman" w:hAnsi="Times New Roman" w:eastAsia="Times New Roman"/>
          <w:sz w:val="24"/>
        </w:rPr>
        <w:t>[8] Apache Airflow Documentation, DAGs and task dependencies, https://airflow.apache.org/docs/apache-airflow/stable/core-concepts/dags.html</w:t>
      </w:r>
    </w:p>
    <w:p>
      <w:pPr>
        <w:spacing w:line="324" w:lineRule="auto" w:after="120"/>
        <w:ind w:firstLine="432"/>
        <w:jc w:val="both"/>
      </w:pPr>
      <w:r>
        <w:rPr>
          <w:rFonts w:ascii="Times New Roman" w:hAnsi="Times New Roman" w:eastAsia="Times New Roman"/>
          <w:sz w:val="24"/>
        </w:rPr>
        <w:t>[9] MinIO Documentation, Object storage for S3-compatible workloads, https://min.io/docs/minio/container/index.html</w:t>
      </w:r>
    </w:p>
    <w:p>
      <w:pPr>
        <w:spacing w:line="324" w:lineRule="auto" w:after="120"/>
        <w:ind w:firstLine="432"/>
        <w:jc w:val="both"/>
      </w:pPr>
      <w:r>
        <w:rPr>
          <w:rFonts w:ascii="Times New Roman" w:hAnsi="Times New Roman" w:eastAsia="Times New Roman"/>
          <w:sz w:val="24"/>
        </w:rPr>
        <w:t>[10] Apache Superset Documentation, https://superset.apache.org/docs/intro</w:t>
      </w:r>
    </w:p>
    <w:p>
      <w:pPr>
        <w:spacing w:line="324" w:lineRule="auto" w:after="120"/>
        <w:ind w:firstLine="432"/>
        <w:jc w:val="both"/>
      </w:pPr>
      <w:r>
        <w:rPr>
          <w:rFonts w:ascii="Times New Roman" w:hAnsi="Times New Roman" w:eastAsia="Times New Roman"/>
          <w:sz w:val="24"/>
        </w:rPr>
        <w:t>[11] scikit-learn Documentation, CountVectorizer, LogisticRegression and OneVsRestClassifier, https://scikit-learn.org/stable/</w:t>
      </w:r>
    </w:p>
    <w:p>
      <w:pPr>
        <w:spacing w:line="324" w:lineRule="auto" w:after="120"/>
        <w:ind w:firstLine="432"/>
        <w:jc w:val="both"/>
      </w:pPr>
      <w:r>
        <w:rPr>
          <w:rFonts w:ascii="Times New Roman" w:hAnsi="Times New Roman" w:eastAsia="Times New Roman"/>
          <w:sz w:val="24"/>
        </w:rPr>
        <w:t>[12] Liu et al., RoBERTa: A Robustly Optimized BERT Pretraining Approach, https://arxiv.org/abs/1907.11692</w:t>
      </w:r>
    </w:p>
    <w:p>
      <w:pPr/>
      <w:r>
        <w:t>[13] Hugging Face, FacebookAI/roberta-base model card, https://huggingface.co/FacebookAI/roberta-base</w:t>
      </w:r>
    </w:p>
    <w:p>
      <w:pPr/>
      <w:r>
        <w:t>[14] Hugging Face Transformers, Text classification task guide, https://huggingface.co/docs/transformers/tasks/sequence_classification</w:t>
      </w:r>
    </w:p>
    <w:p>
      <w:pPr/>
      <w:r>
        <w:t>[15] PyTorch Documentation, BCEWithLogitsLoss, https://docs.pytorch.org/docs/stable/generated/torch.nn.BCEWithLogitsLoss.html</w:t>
      </w:r>
    </w:p>
    <w:p>
      <w:pPr/>
      <w:r>
        <w:t>[16] scikit-learn Documentation, CountVectorizer, https://scikit-learn.org/stable/modules/generated/sklearn.feature_extraction.text.CountVectorizer.html</w:t>
      </w:r>
    </w:p>
    <w:p>
      <w:pPr/>
      <w:r>
        <w:t>[17] scikit-learn Documentation, OneVsRestClassifier and MultiLabelBinarizer, https://scikit-learn.org/stable/modules/generated/sklearn.multiclass.OneVsRestClassifier.html</w:t>
      </w:r>
    </w:p>
    <w:p>
      <w:pPr/>
      <w:r>
        <w:t>[18] Vaswani et al., Attention Is All You Need, https://arxiv.org/abs/1706.03762</w:t>
      </w:r>
    </w:p>
    <w:p>
      <w:pPr/>
      <w:r>
        <w:t>[19] Devlin et al., BERT: Pre-training of Deep Bidirectional Transformers for Language Understanding, https://arxiv.org/abs/1810.04805</w:t>
      </w:r>
    </w:p>
    <w:p>
      <w:pPr/>
      <w:r>
        <w:t>[20] Hugging Face Transformers, AutoModelForSequenceClassification and RoBERTa documentation, https://huggingface.co/docs/transformers/main/model_doc/auto</w:t>
      </w:r>
    </w:p>
    <w:p>
      <w:pPr/>
      <w:r>
        <w:t>[21] Hugging Face Transformers, Trainer documentation, https://huggingface.co/docs/transformers/main_classes/trainer</w:t>
      </w:r>
    </w:p>
    <w:p>
      <w:pPr/>
      <w:r>
        <w:t>[22] Hugging Face Datasets, Use with Pandas, https://huggingface.co/docs/datasets/use_with_pandas</w:t>
      </w:r>
    </w:p>
    <w:p>
      <w:pPr/>
      <w:r>
        <w:t>[23] scikit-learn, CountVectorizer documentation, https://scikit-learn.org/stable/modules/generated/sklearn.feature_extraction.text.CountVectorizer.html</w:t>
      </w:r>
    </w:p>
    <w:p>
      <w:pPr/>
      <w:r>
        <w:t>[24] scikit-learn, LogisticRegression documentation, https://scikit-learn.org/stable/modules/generated/sklearn.linear_model.LogisticRegression.html</w:t>
      </w:r>
    </w:p>
    <w:p>
      <w:pPr/>
      <w:r>
        <w:t>[25] scikit-learn, OneVsRestClassifier documentation, https://scikit-learn.org/stable/modules/generated/sklearn.multiclass.OneVsRestClassifier.html</w:t>
      </w:r>
    </w:p>
    <w:p>
      <w:pPr/>
      <w:r>
        <w:t>[26] scikit-learn, MultiLabelBinarizer documentation, https://scikit-learn.org/stable/modules/generated/sklearn.preprocessing.MultiLabelBinarizer.html</w:t>
      </w:r>
    </w:p>
    <w:p>
      <w:pPr/>
      <w:r>
        <w:t>[27] Hugging Face Transformers, RoBERTa documentation, https://huggingface.co/docs/transformers/main/model_doc/roberta</w:t>
      </w:r>
    </w:p>
    <w:p>
      <w:pPr/>
      <w:r>
        <w:t>[28] PyTorch, BCEWithLogitsLoss documentation, https://pytorch.org/docs/stable/generated/torch.nn.BCEWithLogitsLoss.html</w:t>
      </w:r>
    </w:p>
    <w:p>
      <w:r>
        <w:br w:type="page"/>
      </w:r>
    </w:p>
    <w:p>
      <w:r>
        <w:rPr>
          <w:b w:val="0"/>
        </w:rPr>
        <w:t>Dao, H., Chawla, G., Banda, R., &amp; DeLeeuw, C. (2025). Real-World En Call Center Transcripts Dataset with PII Redaction. arXiv:2507.02958. https://arxiv.org/abs/2507.02958</w:t>
      </w:r>
    </w:p>
    <w:p>
      <w:r>
        <w:rPr>
          <w:b w:val="0"/>
        </w:rPr>
        <w:t>AIxBlock. 92k Real-World Call Center Scripts English. Hugging Face Dataset. https://huggingface.co/datasets/AIxBlock/92k-real-world-call-center-scripts-english</w:t>
      </w:r>
    </w:p>
    <w:p>
      <w:r>
        <w:rPr>
          <w:b w:val="0"/>
        </w:rPr>
        <w:t>Gururangan, S., Marasović, A., Swayamdipta, S., Lo, K., Beltagy, I., Downey, D., &amp; Smith, N. A. (2020). Don't Stop Pretraining: Adapt Language Models to Domains and Tasks. ACL 2020. https://aclanthology.org/2020.acl-main.740/</w:t>
      </w:r>
    </w:p>
    <w:p>
      <w:r>
        <w:rPr>
          <w:b w:val="0"/>
        </w:rPr>
        <w:t>Ratner, A., De Sa, C., Wu, S., Selsam, D., &amp; Ré, C. (2016). Data Programming: Creating Large Training Sets, Quickly. NeurIPS 2016. https://papers.neurips.cc/paper/6523-data-programming-creating-large-training-sets-quickly</w:t>
      </w:r>
    </w:p>
    <w:p>
      <w:r>
        <w:rPr>
          <w:b w:val="0"/>
        </w:rPr>
        <w:t>Amini, M.-R., Feofanov, V., Pauletto, L., Lies Hadjadj, E., Devijver, E., &amp; Maximov, Y. (2022). Self-Training: A Survey. arXiv:2202.12040. https://arxiv.org/abs/2202.12040</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rPr>
          <w:rFonts w:ascii="Times New Roman" w:hAnsi="Times New Roman" w:eastAsia="Times New Roman"/>
          <w:sz w:val="24"/>
        </w:rPr>
        <w:t>Phụ lục B liệt kê các sơ đồ và hình minh họa cần có trong bản thuyết minh: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rPr>
          <w:rFonts w:ascii="Times New Roman" w:hAnsi="Times New Roman" w:eastAsia="Times New Roman"/>
          <w:sz w:val="24"/>
        </w:rPr>
        <w:t>Notebook generate_data.ipynb hiện có cấu hình API key cục bộ. Khi nộp hoặc public repository, cần xóa key khỏi notebook, rotate key nếu đã từng commit/chia sẻ và chuyển sang đọc từ biến môi trường.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call_code_predicted.</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r>
              <w:t>NLP_MODEL_TYPE mặc định là roberta; BoW chỉ là fallback bằng biến môi trường.</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r>
              <w:t>Airflow truyền NLP_MODEL_TYPE=roberta; Dockerfile bổ sung PyTorch, Transformers, safetensors cùng các dependency Spark/Pandas.</w:t>
            </w:r>
          </w:p>
        </w:tc>
      </w:tr>
    </w:tbl>
    <w:p>
      <w:pPr>
        <w:pStyle w:val="Heading3"/>
      </w:pPr>
      <w:r>
        <w:t>Nhận xét đối chiếu</w:t>
      </w:r>
    </w:p>
    <w:p>
      <w:r>
        <w:t>Các artifact chính đều đã có vị trí thuyết minh tương ứng trong báo cáo. Phần dữ liệu bám vào generate_data.ipynb và các CSV nguồn; phần NLP bám vào NLP_model.ipynb, trong đó BoW + Logistic Regression là mô hình chính và BoW là baseline; phần pipeline bám vào các job Bronze/Silver/Gold, DAG Airflow và Dockerfile.</w:t>
      </w:r>
    </w:p>
    <w:p>
      <w:r>
        <w:t>Khi bổ sung hình thật, các vị trí minh họa hiện có trong thân bài cần được thay bằng sơ đồ kiến trúc, screenshot dashboard, screenshot BigQuery/Superset và kết quả truy vấn kiểm chứng. Nội dung text hiện tại đã ghi rõ loại hình cần có để việc bổ sung hình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