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E408A"/>
          <w:sz w:val="44"/>
        </w:rPr>
        <w:t>SECURITY AUDIT REPORT</w:t>
      </w:r>
    </w:p>
    <w:p>
      <w:pPr>
        <w:jc w:val="center"/>
      </w:pPr>
      <w:r>
        <w:rPr>
          <w:b/>
          <w:color w:val="374751"/>
          <w:sz w:val="28"/>
        </w:rPr>
        <w:t>Barangay Health Center Management System</w:t>
      </w:r>
    </w:p>
    <w:p>
      <w:pPr>
        <w:jc w:val="center"/>
      </w:pPr>
      <w:r>
        <w:rPr>
          <w:color w:val="888888"/>
          <w:sz w:val="21"/>
        </w:rPr>
        <w:t>Application Security Assessment  |  June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CRITICAL</w:t>
            </w:r>
          </w:p>
        </w:tc>
        <w:tc>
          <w:tcPr>
            <w:tcW w:type="dxa" w:w="2268"/>
            <w:shd w:val="clear" w:color="auto" w:fill="E67E2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HIGH</w:t>
            </w:r>
          </w:p>
        </w:tc>
        <w:tc>
          <w:tcPr>
            <w:tcW w:type="dxa" w:w="2268"/>
            <w:shd w:val="clear" w:color="auto" w:fill="F0B42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MEDIUM</w:t>
            </w:r>
          </w:p>
        </w:tc>
        <w:tc>
          <w:tcPr>
            <w:tcW w:type="dxa" w:w="2268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LOW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jc w:val="center"/>
            </w:pPr>
            <w:r>
              <w:rPr>
                <w:b/>
                <w:sz w:val="36"/>
              </w:rPr>
              <w:t>3</w:t>
            </w:r>
          </w:p>
        </w:tc>
        <w:tc>
          <w:tcPr>
            <w:tcW w:type="dxa" w:w="2268"/>
            <w:shd w:val="clear" w:color="auto" w:fill="F9FAFB"/>
          </w:tcPr>
          <w:p>
            <w:pPr>
              <w:jc w:val="center"/>
            </w:pPr>
            <w:r>
              <w:rPr>
                <w:b/>
                <w:sz w:val="36"/>
              </w:rPr>
              <w:t>3</w:t>
            </w:r>
          </w:p>
        </w:tc>
        <w:tc>
          <w:tcPr>
            <w:tcW w:type="dxa" w:w="2268"/>
            <w:shd w:val="clear" w:color="auto" w:fill="F9FAFB"/>
          </w:tcPr>
          <w:p>
            <w:pPr>
              <w:jc w:val="center"/>
            </w:pPr>
            <w:r>
              <w:rPr>
                <w:b/>
                <w:sz w:val="36"/>
              </w:rPr>
              <w:t>3</w:t>
            </w:r>
          </w:p>
        </w:tc>
        <w:tc>
          <w:tcPr>
            <w:tcW w:type="dxa" w:w="2268"/>
            <w:shd w:val="clear" w:color="auto" w:fill="F9FAFB"/>
          </w:tcPr>
          <w:p>
            <w:pPr>
              <w:jc w:val="center"/>
            </w:pPr>
            <w:r>
              <w:rPr>
                <w:b/>
                <w:sz w:val="36"/>
              </w:rPr>
              <w:t>2</w:t>
            </w:r>
          </w:p>
        </w:tc>
      </w:tr>
    </w:tbl>
    <w:p/>
    <w:p>
      <w:pPr>
        <w:spacing w:before="280" w:after="80"/>
      </w:pPr>
      <w:r>
        <w:rPr>
          <w:b/>
          <w:color w:val="1E408A"/>
          <w:sz w:val="30"/>
        </w:rPr>
        <w:t>1. Executive Summary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A full-source security audit was conducted on the Barangay Health Center Management System, a Next.js 14 application backed by Neon PostgreSQL and deployed on Vercel. The audit covered all 25 API route handlers against seven security control domains: rate limiting, secret management, API hardening, data encryption, authentication throttling, network security, and prompt injection. Eleven findings were identified: 3 Critical, 3 High, 3 Medium, and 2 Low.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Three findings require immediate remediation before the system handles real patient data. The most severe issues are an unauthenticated admin-seeding endpoint that returns plaintext credentials, a password-reset flow that requires no token verification, and an OTP code returned directly in the API response.</w:t>
      </w:r>
    </w:p>
    <w:p>
      <w:pPr>
        <w:spacing w:before="280" w:after="80"/>
      </w:pPr>
      <w:r>
        <w:rPr>
          <w:b/>
          <w:color w:val="1E408A"/>
          <w:sz w:val="30"/>
        </w:rPr>
        <w:t>2. Audit Scope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The following files and areas were reviewed: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1"/>
        </w:rPr>
        <w:t>src/app/api/** — all 25 route handlers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1"/>
        </w:rPr>
        <w:t>src/lib/auth.ts, auth-edge.ts — JWT signing/verification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1"/>
        </w:rPr>
        <w:t>src/components/QrScannerTab.tsx — client-side QR camera component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1"/>
        </w:rPr>
        <w:t>.env / .gitignore — secret management posture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1"/>
        </w:rPr>
        <w:t>next.config, middleware (absent) — request-level controls</w:t>
      </w:r>
    </w:p>
    <w:p>
      <w:pPr>
        <w:spacing w:before="280" w:after="80"/>
      </w:pPr>
      <w:r>
        <w:rPr>
          <w:b/>
          <w:color w:val="1E408A"/>
          <w:sz w:val="30"/>
        </w:rPr>
        <w:t>3. Detailed Findings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8064"/>
        <w:gridCol w:w="1584"/>
      </w:tblGrid>
      <w:tr>
        <w:trPr>
          <w:trHeight w:val="440"/>
        </w:trPr>
        <w:tc>
          <w:tcPr>
            <w:tcW w:type="dxa" w:w="3024"/>
            <w:shd w:val="clear" w:color="auto" w:fill="1E40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F01</w:t>
            </w:r>
          </w:p>
        </w:tc>
        <w:tc>
          <w:tcPr>
            <w:tcW w:type="dxa" w:w="3024"/>
            <w:shd w:val="clear" w:color="auto" w:fill="1E408A"/>
            <w:vAlign w:val="center"/>
          </w:tcPr>
          <w:p>
            <w:r>
              <w:rPr>
                <w:b/>
                <w:color w:val="FFFFFF"/>
                <w:sz w:val="21"/>
              </w:rPr>
              <w:t>Unauthenticated Admin Seed Endpoint Exposes Hardcoded Credentials</w:t>
            </w:r>
          </w:p>
        </w:tc>
        <w:tc>
          <w:tcPr>
            <w:tcW w:type="dxa" w:w="3024"/>
            <w:shd w:val="clear" w:color="auto" w:fill="C0392B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  CRITICAL</w:t>
            </w:r>
          </w:p>
        </w:tc>
      </w:tr>
      <w:tr>
        <w:tc>
          <w:tcPr>
            <w:tcW w:type="dxa" w:w="10224"/>
            <w:gridSpan w:val="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 xml:space="preserve">Location: </w:t>
            </w:r>
            <w:r>
              <w:rPr>
                <w:rFonts w:ascii="Calibri" w:hAnsi="Calibri"/>
                <w:sz w:val="20"/>
              </w:rPr>
              <w:t>/api/seed-admin  (GET — no auth required)</w:t>
            </w:r>
          </w:p>
        </w:tc>
      </w:tr>
      <w:tr>
        <w:tc>
          <w:tcPr>
            <w:tcW w:type="dxa" w:w="10224"/>
            <w:gridSpan w:val="3"/>
            <w:shd w:val="clear" w:color="auto" w:fill="F9FAFB"/>
          </w:tcPr>
          <w:p>
            <w:r>
              <w:rPr>
                <w:rFonts w:ascii="Calibri" w:hAnsi="Calibri"/>
                <w:b/>
                <w:sz w:val="20"/>
              </w:rPr>
              <w:t xml:space="preserve">Description: </w:t>
            </w:r>
            <w:r>
              <w:rPr>
                <w:rFonts w:ascii="Calibri" w:hAnsi="Calibri"/>
                <w:sz w:val="20"/>
              </w:rPr>
              <w:t>The /api/seed-admin endpoint is publicly reachable via HTTP GET. It creates a BARANGAY_ADMIN account with the hardcoded password "admin12345" and returns both the username and the plaintext password in the JSON response — every time it is called, even after the account already exists.</w:t>
            </w:r>
          </w:p>
        </w:tc>
      </w:tr>
      <w:tr>
        <w:tc>
          <w:tcPr>
            <w:tcW w:type="dxa" w:w="10224"/>
            <w:gridSpan w:val="3"/>
            <w:shd w:val="clear" w:color="auto" w:fill="FFF8F0"/>
          </w:tcPr>
          <w:p>
            <w:r>
              <w:rPr>
                <w:rFonts w:ascii="Calibri" w:hAnsi="Calibri"/>
                <w:b/>
                <w:sz w:val="20"/>
              </w:rPr>
              <w:t xml:space="preserve">Impact: </w:t>
            </w:r>
            <w:r>
              <w:rPr>
                <w:rFonts w:ascii="Calibri" w:hAnsi="Calibri"/>
                <w:sz w:val="20"/>
              </w:rPr>
              <w:t>Any attacker who discovers this URL instantly obtains full admin credentials. Patient health records, PII, and all administrative functions are immediately compromised.</w:t>
            </w:r>
          </w:p>
        </w:tc>
      </w:tr>
      <w:tr>
        <w:tc>
          <w:tcPr>
            <w:tcW w:type="dxa" w:w="10224"/>
            <w:gridSpan w:val="3"/>
            <w:shd w:val="clear" w:color="auto" w:fill="F0FDF4"/>
          </w:tcPr>
          <w:p>
            <w:r>
              <w:rPr>
                <w:rFonts w:ascii="Calibri" w:hAnsi="Calibri"/>
                <w:b/>
                <w:sz w:val="20"/>
              </w:rPr>
              <w:t>Remediation: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Delete or disable /api/seed-admin entirely after first use.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If a seed endpoint is needed during development, gate it with a strong SEED_SECRET environment variable: compare req.headers["x-seed-secret"] === process.env.SEED_SECRET.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Never return plaintext passwords in any API response.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Run the seed locally using `npx prisma db seed` rather than a live HTTP endpoint.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8064"/>
        <w:gridCol w:w="1584"/>
      </w:tblGrid>
      <w:tr>
        <w:trPr>
          <w:trHeight w:val="440"/>
        </w:trPr>
        <w:tc>
          <w:tcPr>
            <w:tcW w:type="dxa" w:w="3024"/>
            <w:shd w:val="clear" w:color="auto" w:fill="1E40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F02</w:t>
            </w:r>
          </w:p>
        </w:tc>
        <w:tc>
          <w:tcPr>
            <w:tcW w:type="dxa" w:w="3024"/>
            <w:shd w:val="clear" w:color="auto" w:fill="1E408A"/>
            <w:vAlign w:val="center"/>
          </w:tcPr>
          <w:p>
            <w:r>
              <w:rPr>
                <w:b/>
                <w:color w:val="FFFFFF"/>
                <w:sz w:val="21"/>
              </w:rPr>
              <w:t>Password Reset Accepts Email Alone — No Token Verification</w:t>
            </w:r>
          </w:p>
        </w:tc>
        <w:tc>
          <w:tcPr>
            <w:tcW w:type="dxa" w:w="3024"/>
            <w:shd w:val="clear" w:color="auto" w:fill="C0392B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  CRITICAL</w:t>
            </w:r>
          </w:p>
        </w:tc>
      </w:tr>
      <w:tr>
        <w:tc>
          <w:tcPr>
            <w:tcW w:type="dxa" w:w="10224"/>
            <w:gridSpan w:val="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 xml:space="preserve">Location: </w:t>
            </w:r>
            <w:r>
              <w:rPr>
                <w:rFonts w:ascii="Calibri" w:hAnsi="Calibri"/>
                <w:sz w:val="20"/>
              </w:rPr>
              <w:t>/api/forgot-password/reset  (POST)</w:t>
            </w:r>
          </w:p>
        </w:tc>
      </w:tr>
      <w:tr>
        <w:tc>
          <w:tcPr>
            <w:tcW w:type="dxa" w:w="10224"/>
            <w:gridSpan w:val="3"/>
            <w:shd w:val="clear" w:color="auto" w:fill="F9FAFB"/>
          </w:tcPr>
          <w:p>
            <w:r>
              <w:rPr>
                <w:rFonts w:ascii="Calibri" w:hAnsi="Calibri"/>
                <w:b/>
                <w:sz w:val="20"/>
              </w:rPr>
              <w:t xml:space="preserve">Description: </w:t>
            </w:r>
            <w:r>
              <w:rPr>
                <w:rFonts w:ascii="Calibri" w:hAnsi="Calibri"/>
                <w:sz w:val="20"/>
              </w:rPr>
              <w:t>The reset endpoint accepts { email, newPassword } and immediately updates the user password with no verification that the caller possesses the OTP code sent to that email. Any attacker who knows a registered email address can reset that user's password.</w:t>
            </w:r>
          </w:p>
        </w:tc>
      </w:tr>
      <w:tr>
        <w:tc>
          <w:tcPr>
            <w:tcW w:type="dxa" w:w="10224"/>
            <w:gridSpan w:val="3"/>
            <w:shd w:val="clear" w:color="auto" w:fill="FFF8F0"/>
          </w:tcPr>
          <w:p>
            <w:r>
              <w:rPr>
                <w:rFonts w:ascii="Calibri" w:hAnsi="Calibri"/>
                <w:b/>
                <w:sz w:val="20"/>
              </w:rPr>
              <w:t xml:space="preserve">Impact: </w:t>
            </w:r>
            <w:r>
              <w:rPr>
                <w:rFonts w:ascii="Calibri" w:hAnsi="Calibri"/>
                <w:sz w:val="20"/>
              </w:rPr>
              <w:t>Complete account takeover for any user whose email is known (all 10 current users visible in Neon). Patient health history, prescriptions, and referrals become fully accessible.</w:t>
            </w:r>
          </w:p>
        </w:tc>
      </w:tr>
      <w:tr>
        <w:tc>
          <w:tcPr>
            <w:tcW w:type="dxa" w:w="10224"/>
            <w:gridSpan w:val="3"/>
            <w:shd w:val="clear" w:color="auto" w:fill="F0FDF4"/>
          </w:tcPr>
          <w:p>
            <w:r>
              <w:rPr>
                <w:rFonts w:ascii="Calibri" w:hAnsi="Calibri"/>
                <w:b/>
                <w:sz w:val="20"/>
              </w:rPr>
              <w:t>Remediation: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Require a verified token in the reset call: { email, code, newPassword }.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Before updating the password, look up the stored PasswordResetToken record and verify it matches, has not expired, and has not been used.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Invalidate (delete) the token immediately after a successful reset.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Add a short expiry (10 minutes) on reset tokens.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8064"/>
        <w:gridCol w:w="1584"/>
      </w:tblGrid>
      <w:tr>
        <w:trPr>
          <w:trHeight w:val="440"/>
        </w:trPr>
        <w:tc>
          <w:tcPr>
            <w:tcW w:type="dxa" w:w="3024"/>
            <w:shd w:val="clear" w:color="auto" w:fill="1E40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F03</w:t>
            </w:r>
          </w:p>
        </w:tc>
        <w:tc>
          <w:tcPr>
            <w:tcW w:type="dxa" w:w="3024"/>
            <w:shd w:val="clear" w:color="auto" w:fill="1E408A"/>
            <w:vAlign w:val="center"/>
          </w:tcPr>
          <w:p>
            <w:r>
              <w:rPr>
                <w:b/>
                <w:color w:val="FFFFFF"/>
                <w:sz w:val="21"/>
              </w:rPr>
              <w:t>OTP Code Returned in Plaintext API Response</w:t>
            </w:r>
          </w:p>
        </w:tc>
        <w:tc>
          <w:tcPr>
            <w:tcW w:type="dxa" w:w="3024"/>
            <w:shd w:val="clear" w:color="auto" w:fill="C0392B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  CRITICAL</w:t>
            </w:r>
          </w:p>
        </w:tc>
      </w:tr>
      <w:tr>
        <w:tc>
          <w:tcPr>
            <w:tcW w:type="dxa" w:w="10224"/>
            <w:gridSpan w:val="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 xml:space="preserve">Location: </w:t>
            </w:r>
            <w:r>
              <w:rPr>
                <w:rFonts w:ascii="Calibri" w:hAnsi="Calibri"/>
                <w:sz w:val="20"/>
              </w:rPr>
              <w:t>/api/forgot-password/send-code  (POST) — line 38</w:t>
            </w:r>
          </w:p>
        </w:tc>
      </w:tr>
      <w:tr>
        <w:tc>
          <w:tcPr>
            <w:tcW w:type="dxa" w:w="10224"/>
            <w:gridSpan w:val="3"/>
            <w:shd w:val="clear" w:color="auto" w:fill="F9FAFB"/>
          </w:tcPr>
          <w:p>
            <w:r>
              <w:rPr>
                <w:rFonts w:ascii="Calibri" w:hAnsi="Calibri"/>
                <w:b/>
                <w:sz w:val="20"/>
              </w:rPr>
              <w:t xml:space="preserve">Description: </w:t>
            </w:r>
            <w:r>
              <w:rPr>
                <w:rFonts w:ascii="Calibri" w:hAnsi="Calibri"/>
                <w:sz w:val="20"/>
              </w:rPr>
              <w:t>The send-code handler generates a 6-digit OTP, sends it by email, but also includes the raw code: field in the JSON response body. The comment in the source reads "// temporary for testing only" — it was never removed before production deployment.</w:t>
            </w:r>
          </w:p>
        </w:tc>
      </w:tr>
      <w:tr>
        <w:tc>
          <w:tcPr>
            <w:tcW w:type="dxa" w:w="10224"/>
            <w:gridSpan w:val="3"/>
            <w:shd w:val="clear" w:color="auto" w:fill="FFF8F0"/>
          </w:tcPr>
          <w:p>
            <w:r>
              <w:rPr>
                <w:rFonts w:ascii="Calibri" w:hAnsi="Calibri"/>
                <w:b/>
                <w:sz w:val="20"/>
              </w:rPr>
              <w:t xml:space="preserve">Impact: </w:t>
            </w:r>
            <w:r>
              <w:rPr>
                <w:rFonts w:ascii="Calibri" w:hAnsi="Calibri"/>
                <w:sz w:val="20"/>
              </w:rPr>
              <w:t>The OTP is readable by anyone with access to the network response (browser DevTools, proxy, CDN logs). This completely defeats the purpose of the second-factor verification.</w:t>
            </w:r>
          </w:p>
        </w:tc>
      </w:tr>
      <w:tr>
        <w:tc>
          <w:tcPr>
            <w:tcW w:type="dxa" w:w="10224"/>
            <w:gridSpan w:val="3"/>
            <w:shd w:val="clear" w:color="auto" w:fill="F0FDF4"/>
          </w:tcPr>
          <w:p>
            <w:r>
              <w:rPr>
                <w:rFonts w:ascii="Calibri" w:hAnsi="Calibri"/>
                <w:b/>
                <w:sz w:val="20"/>
              </w:rPr>
              <w:t>Remediation: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Remove the `code` field from the response immediately.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Response should only be: { message: "Reset code sent successfully." }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The OTP must exist only in the database and in the email inbox of the registered user.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8064"/>
        <w:gridCol w:w="1584"/>
      </w:tblGrid>
      <w:tr>
        <w:trPr>
          <w:trHeight w:val="440"/>
        </w:trPr>
        <w:tc>
          <w:tcPr>
            <w:tcW w:type="dxa" w:w="3024"/>
            <w:shd w:val="clear" w:color="auto" w:fill="1E40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F04</w:t>
            </w:r>
          </w:p>
        </w:tc>
        <w:tc>
          <w:tcPr>
            <w:tcW w:type="dxa" w:w="3024"/>
            <w:shd w:val="clear" w:color="auto" w:fill="1E408A"/>
            <w:vAlign w:val="center"/>
          </w:tcPr>
          <w:p>
            <w:r>
              <w:rPr>
                <w:b/>
                <w:color w:val="FFFFFF"/>
                <w:sz w:val="21"/>
              </w:rPr>
              <w:t>No Rate Limiting on Any API Endpoint</w:t>
            </w:r>
          </w:p>
        </w:tc>
        <w:tc>
          <w:tcPr>
            <w:tcW w:type="dxa" w:w="3024"/>
            <w:shd w:val="clear" w:color="auto" w:fill="E67E22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  HIGH</w:t>
            </w:r>
          </w:p>
        </w:tc>
      </w:tr>
      <w:tr>
        <w:tc>
          <w:tcPr>
            <w:tcW w:type="dxa" w:w="10224"/>
            <w:gridSpan w:val="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 xml:space="preserve">Location: </w:t>
            </w:r>
            <w:r>
              <w:rPr>
                <w:rFonts w:ascii="Calibri" w:hAnsi="Calibri"/>
                <w:sz w:val="20"/>
              </w:rPr>
              <w:t>All API routes — no middleware.ts present</w:t>
            </w:r>
          </w:p>
        </w:tc>
      </w:tr>
      <w:tr>
        <w:tc>
          <w:tcPr>
            <w:tcW w:type="dxa" w:w="10224"/>
            <w:gridSpan w:val="3"/>
            <w:shd w:val="clear" w:color="auto" w:fill="F9FAFB"/>
          </w:tcPr>
          <w:p>
            <w:r>
              <w:rPr>
                <w:rFonts w:ascii="Calibri" w:hAnsi="Calibri"/>
                <w:b/>
                <w:sz w:val="20"/>
              </w:rPr>
              <w:t xml:space="preserve">Description: </w:t>
            </w:r>
            <w:r>
              <w:rPr>
                <w:rFonts w:ascii="Calibri" w:hAnsi="Calibri"/>
                <w:sz w:val="20"/>
              </w:rPr>
              <w:t>There is no rate limiting, no middleware.ts, and no IP-level throttle on any of the 25 API routes. This includes login, register, forgot-password/send-code, verify-code, and admin/verify-password — all of which are brute-forceable without any restriction.</w:t>
            </w:r>
          </w:p>
        </w:tc>
      </w:tr>
      <w:tr>
        <w:tc>
          <w:tcPr>
            <w:tcW w:type="dxa" w:w="10224"/>
            <w:gridSpan w:val="3"/>
            <w:shd w:val="clear" w:color="auto" w:fill="FFF8F0"/>
          </w:tcPr>
          <w:p>
            <w:r>
              <w:rPr>
                <w:rFonts w:ascii="Calibri" w:hAnsi="Calibri"/>
                <w:b/>
                <w:sz w:val="20"/>
              </w:rPr>
              <w:t xml:space="preserve">Impact: </w:t>
            </w:r>
            <w:r>
              <w:rPr>
                <w:rFonts w:ascii="Calibri" w:hAnsi="Calibri"/>
                <w:sz w:val="20"/>
              </w:rPr>
              <w:t>An attacker can attempt unlimited login attempts (credential stuffing), exhaust email/SMS OTP quotas (cost attack), and enumerate valid usernames via timing differences.</w:t>
            </w:r>
          </w:p>
        </w:tc>
      </w:tr>
      <w:tr>
        <w:tc>
          <w:tcPr>
            <w:tcW w:type="dxa" w:w="10224"/>
            <w:gridSpan w:val="3"/>
            <w:shd w:val="clear" w:color="auto" w:fill="F0FDF4"/>
          </w:tcPr>
          <w:p>
            <w:r>
              <w:rPr>
                <w:rFonts w:ascii="Calibri" w:hAnsi="Calibri"/>
                <w:b/>
                <w:sz w:val="20"/>
              </w:rPr>
              <w:t>Remediation: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Install the `@upstash/ratelimit` package (free tier available) and add a middleware.ts at src/middleware.ts.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Apply a limit of 5 requests per 15 minutes on /api/login, /api/forgot-password/*, and /api/verify-code.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Apply 20 requests per minute on /api/register to prevent spam registrations.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Return HTTP 429 with a Retry-After header when the limit is exceeded.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Alternatively, use Vercel's built-in Edge Middleware with IP-based limiting.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8064"/>
        <w:gridCol w:w="1584"/>
      </w:tblGrid>
      <w:tr>
        <w:trPr>
          <w:trHeight w:val="440"/>
        </w:trPr>
        <w:tc>
          <w:tcPr>
            <w:tcW w:type="dxa" w:w="3024"/>
            <w:shd w:val="clear" w:color="auto" w:fill="1E40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F05</w:t>
            </w:r>
          </w:p>
        </w:tc>
        <w:tc>
          <w:tcPr>
            <w:tcW w:type="dxa" w:w="3024"/>
            <w:shd w:val="clear" w:color="auto" w:fill="1E408A"/>
            <w:vAlign w:val="center"/>
          </w:tcPr>
          <w:p>
            <w:r>
              <w:rPr>
                <w:b/>
                <w:color w:val="FFFFFF"/>
                <w:sz w:val="21"/>
              </w:rPr>
              <w:t>Login Response Enables Username Enumeration</w:t>
            </w:r>
          </w:p>
        </w:tc>
        <w:tc>
          <w:tcPr>
            <w:tcW w:type="dxa" w:w="3024"/>
            <w:shd w:val="clear" w:color="auto" w:fill="E67E22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  HIGH</w:t>
            </w:r>
          </w:p>
        </w:tc>
      </w:tr>
      <w:tr>
        <w:tc>
          <w:tcPr>
            <w:tcW w:type="dxa" w:w="10224"/>
            <w:gridSpan w:val="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 xml:space="preserve">Location: </w:t>
            </w:r>
            <w:r>
              <w:rPr>
                <w:rFonts w:ascii="Calibri" w:hAnsi="Calibri"/>
                <w:sz w:val="20"/>
              </w:rPr>
              <w:t>/api/login  (POST)</w:t>
            </w:r>
          </w:p>
        </w:tc>
      </w:tr>
      <w:tr>
        <w:tc>
          <w:tcPr>
            <w:tcW w:type="dxa" w:w="10224"/>
            <w:gridSpan w:val="3"/>
            <w:shd w:val="clear" w:color="auto" w:fill="F9FAFB"/>
          </w:tcPr>
          <w:p>
            <w:r>
              <w:rPr>
                <w:rFonts w:ascii="Calibri" w:hAnsi="Calibri"/>
                <w:b/>
                <w:sz w:val="20"/>
              </w:rPr>
              <w:t xml:space="preserve">Description: </w:t>
            </w:r>
            <w:r>
              <w:rPr>
                <w:rFonts w:ascii="Calibri" w:hAnsi="Calibri"/>
                <w:sz w:val="20"/>
              </w:rPr>
              <w:t>The login handler returns HTTP 404 with "Account not found" when the username/email does not exist, and HTTP 401 with "Invalid password" when the account exists but the password is wrong. These distinct responses allow attackers to enumerate valid accounts.</w:t>
            </w:r>
          </w:p>
        </w:tc>
      </w:tr>
      <w:tr>
        <w:tc>
          <w:tcPr>
            <w:tcW w:type="dxa" w:w="10224"/>
            <w:gridSpan w:val="3"/>
            <w:shd w:val="clear" w:color="auto" w:fill="FFF8F0"/>
          </w:tcPr>
          <w:p>
            <w:r>
              <w:rPr>
                <w:rFonts w:ascii="Calibri" w:hAnsi="Calibri"/>
                <w:b/>
                <w:sz w:val="20"/>
              </w:rPr>
              <w:t xml:space="preserve">Impact: </w:t>
            </w:r>
            <w:r>
              <w:rPr>
                <w:rFonts w:ascii="Calibri" w:hAnsi="Calibri"/>
                <w:sz w:val="20"/>
              </w:rPr>
              <w:t>Attackers can compile a list of valid usernames/emails registered in the system, then target those accounts specifically for credential-stuffing or phishing attacks.</w:t>
            </w:r>
          </w:p>
        </w:tc>
      </w:tr>
      <w:tr>
        <w:tc>
          <w:tcPr>
            <w:tcW w:type="dxa" w:w="10224"/>
            <w:gridSpan w:val="3"/>
            <w:shd w:val="clear" w:color="auto" w:fill="F0FDF4"/>
          </w:tcPr>
          <w:p>
            <w:r>
              <w:rPr>
                <w:rFonts w:ascii="Calibri" w:hAnsi="Calibri"/>
                <w:b/>
                <w:sz w:val="20"/>
              </w:rPr>
              <w:t>Remediation: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Return the same response (HTTP 401, "Invalid credentials") for both cases.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Ensure the response time is identical for both paths to prevent timing-based enumeration.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Example unified message: { error: "Invalid username or password." }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8064"/>
        <w:gridCol w:w="1584"/>
      </w:tblGrid>
      <w:tr>
        <w:trPr>
          <w:trHeight w:val="440"/>
        </w:trPr>
        <w:tc>
          <w:tcPr>
            <w:tcW w:type="dxa" w:w="3024"/>
            <w:shd w:val="clear" w:color="auto" w:fill="1E40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F06</w:t>
            </w:r>
          </w:p>
        </w:tc>
        <w:tc>
          <w:tcPr>
            <w:tcW w:type="dxa" w:w="3024"/>
            <w:shd w:val="clear" w:color="auto" w:fill="1E408A"/>
            <w:vAlign w:val="center"/>
          </w:tcPr>
          <w:p>
            <w:r>
              <w:rPr>
                <w:b/>
                <w:color w:val="FFFFFF"/>
                <w:sz w:val="21"/>
              </w:rPr>
              <w:t>File Upload Endpoint Has No Authentication or File-Type Validation</w:t>
            </w:r>
          </w:p>
        </w:tc>
        <w:tc>
          <w:tcPr>
            <w:tcW w:type="dxa" w:w="3024"/>
            <w:shd w:val="clear" w:color="auto" w:fill="E67E22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  HIGH</w:t>
            </w:r>
          </w:p>
        </w:tc>
      </w:tr>
      <w:tr>
        <w:tc>
          <w:tcPr>
            <w:tcW w:type="dxa" w:w="10224"/>
            <w:gridSpan w:val="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 xml:space="preserve">Location: </w:t>
            </w:r>
            <w:r>
              <w:rPr>
                <w:rFonts w:ascii="Calibri" w:hAnsi="Calibri"/>
                <w:sz w:val="20"/>
              </w:rPr>
              <w:t>/api/upload  (POST)</w:t>
            </w:r>
          </w:p>
        </w:tc>
      </w:tr>
      <w:tr>
        <w:tc>
          <w:tcPr>
            <w:tcW w:type="dxa" w:w="10224"/>
            <w:gridSpan w:val="3"/>
            <w:shd w:val="clear" w:color="auto" w:fill="F9FAFB"/>
          </w:tcPr>
          <w:p>
            <w:r>
              <w:rPr>
                <w:rFonts w:ascii="Calibri" w:hAnsi="Calibri"/>
                <w:b/>
                <w:sz w:val="20"/>
              </w:rPr>
              <w:t xml:space="preserve">Description: </w:t>
            </w:r>
            <w:r>
              <w:rPr>
                <w:rFonts w:ascii="Calibri" w:hAnsi="Calibri"/>
                <w:sz w:val="20"/>
              </w:rPr>
              <w:t>The /api/upload route accepts any file from any caller with no JWT/session check. It only sanitises the filename — it does not validate MIME type, magic bytes, or file size. Uploaded files are written to public/uploads/ and immediately served as static assets.</w:t>
            </w:r>
          </w:p>
        </w:tc>
      </w:tr>
      <w:tr>
        <w:tc>
          <w:tcPr>
            <w:tcW w:type="dxa" w:w="10224"/>
            <w:gridSpan w:val="3"/>
            <w:shd w:val="clear" w:color="auto" w:fill="FFF8F0"/>
          </w:tcPr>
          <w:p>
            <w:r>
              <w:rPr>
                <w:rFonts w:ascii="Calibri" w:hAnsi="Calibri"/>
                <w:b/>
                <w:sz w:val="20"/>
              </w:rPr>
              <w:t xml:space="preserve">Impact: </w:t>
            </w:r>
            <w:r>
              <w:rPr>
                <w:rFonts w:ascii="Calibri" w:hAnsi="Calibri"/>
                <w:sz w:val="20"/>
              </w:rPr>
              <w:t>Unauthenticated users can upload malicious files (web shells, HTML phishing pages, large files for disk exhaustion). On Vercel, the public/uploads directory is served directly, making uploaded content publicly accessible.</w:t>
            </w:r>
          </w:p>
        </w:tc>
      </w:tr>
      <w:tr>
        <w:tc>
          <w:tcPr>
            <w:tcW w:type="dxa" w:w="10224"/>
            <w:gridSpan w:val="3"/>
            <w:shd w:val="clear" w:color="auto" w:fill="F0FDF4"/>
          </w:tcPr>
          <w:p>
            <w:r>
              <w:rPr>
                <w:rFonts w:ascii="Calibri" w:hAnsi="Calibri"/>
                <w:b/>
                <w:sz w:val="20"/>
              </w:rPr>
              <w:t>Remediation: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Add authentication: verify the JWT token before accepting any upload.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Validate MIME type using a magic-byte library (e.g., `file-type`) — do not trust the Content-Type header.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Restrict accepted types to image/jpeg, image/png, image/webp only.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Enforce a maximum file size (e.g., 5 MB) before reading the buffer.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Consider using Vercel Blob or Cloudinary instead of writing to the filesystem, which is ephemeral on Vercel.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8064"/>
        <w:gridCol w:w="1584"/>
      </w:tblGrid>
      <w:tr>
        <w:trPr>
          <w:trHeight w:val="440"/>
        </w:trPr>
        <w:tc>
          <w:tcPr>
            <w:tcW w:type="dxa" w:w="3024"/>
            <w:shd w:val="clear" w:color="auto" w:fill="1E40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F07</w:t>
            </w:r>
          </w:p>
        </w:tc>
        <w:tc>
          <w:tcPr>
            <w:tcW w:type="dxa" w:w="3024"/>
            <w:shd w:val="clear" w:color="auto" w:fill="1E408A"/>
            <w:vAlign w:val="center"/>
          </w:tcPr>
          <w:p>
            <w:r>
              <w:rPr>
                <w:b/>
                <w:color w:val="FFFFFF"/>
                <w:sz w:val="21"/>
              </w:rPr>
              <w:t>JWT Secret Is a Weak Hardcoded Placeholder</w:t>
            </w:r>
          </w:p>
        </w:tc>
        <w:tc>
          <w:tcPr>
            <w:tcW w:type="dxa" w:w="3024"/>
            <w:shd w:val="clear" w:color="auto" w:fill="F0B42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  MEDIUM</w:t>
            </w:r>
          </w:p>
        </w:tc>
      </w:tr>
      <w:tr>
        <w:tc>
          <w:tcPr>
            <w:tcW w:type="dxa" w:w="10224"/>
            <w:gridSpan w:val="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 xml:space="preserve">Location: </w:t>
            </w:r>
            <w:r>
              <w:rPr>
                <w:rFonts w:ascii="Calibri" w:hAnsi="Calibri"/>
                <w:sz w:val="20"/>
              </w:rPr>
              <w:t>.env  —  JWT_SECRET="your_super_secret_key_123456789"</w:t>
            </w:r>
          </w:p>
        </w:tc>
      </w:tr>
      <w:tr>
        <w:tc>
          <w:tcPr>
            <w:tcW w:type="dxa" w:w="10224"/>
            <w:gridSpan w:val="3"/>
            <w:shd w:val="clear" w:color="auto" w:fill="F9FAFB"/>
          </w:tcPr>
          <w:p>
            <w:r>
              <w:rPr>
                <w:rFonts w:ascii="Calibri" w:hAnsi="Calibri"/>
                <w:b/>
                <w:sz w:val="20"/>
              </w:rPr>
              <w:t xml:space="preserve">Description: </w:t>
            </w:r>
            <w:r>
              <w:rPr>
                <w:rFonts w:ascii="Calibri" w:hAnsi="Calibri"/>
                <w:sz w:val="20"/>
              </w:rPr>
              <w:t>The JWT secret in production is the placeholder string from the initial project setup. It is short, predictable, and widely recognisable as a template default. All issued tokens (7-day session cookies) can be forged if this secret is known.</w:t>
            </w:r>
          </w:p>
        </w:tc>
      </w:tr>
      <w:tr>
        <w:tc>
          <w:tcPr>
            <w:tcW w:type="dxa" w:w="10224"/>
            <w:gridSpan w:val="3"/>
            <w:shd w:val="clear" w:color="auto" w:fill="FFF8F0"/>
          </w:tcPr>
          <w:p>
            <w:r>
              <w:rPr>
                <w:rFonts w:ascii="Calibri" w:hAnsi="Calibri"/>
                <w:b/>
                <w:sz w:val="20"/>
              </w:rPr>
              <w:t xml:space="preserve">Impact: </w:t>
            </w:r>
            <w:r>
              <w:rPr>
                <w:rFonts w:ascii="Calibri" w:hAnsi="Calibri"/>
                <w:sz w:val="20"/>
              </w:rPr>
              <w:t>An attacker who knows this widely-used placeholder string can mint valid JWT tokens for any userId and role (including BARANGAY_ADMIN) and access all protected endpoints without credentials.</w:t>
            </w:r>
          </w:p>
        </w:tc>
      </w:tr>
      <w:tr>
        <w:tc>
          <w:tcPr>
            <w:tcW w:type="dxa" w:w="10224"/>
            <w:gridSpan w:val="3"/>
            <w:shd w:val="clear" w:color="auto" w:fill="F0FDF4"/>
          </w:tcPr>
          <w:p>
            <w:r>
              <w:rPr>
                <w:rFonts w:ascii="Calibri" w:hAnsi="Calibri"/>
                <w:b/>
                <w:sz w:val="20"/>
              </w:rPr>
              <w:t>Remediation: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Generate a cryptographically strong secret: `openssl rand -base64 64`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Update the value in Vercel Environment Variables immediately.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Rotate all active sessions after changing the secret (existing tokens become invalid).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Minimum recommended length: 256 bits (32 bytes) of random entropy.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8064"/>
        <w:gridCol w:w="1584"/>
      </w:tblGrid>
      <w:tr>
        <w:trPr>
          <w:trHeight w:val="440"/>
        </w:trPr>
        <w:tc>
          <w:tcPr>
            <w:tcW w:type="dxa" w:w="3024"/>
            <w:shd w:val="clear" w:color="auto" w:fill="1E40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F08</w:t>
            </w:r>
          </w:p>
        </w:tc>
        <w:tc>
          <w:tcPr>
            <w:tcW w:type="dxa" w:w="3024"/>
            <w:shd w:val="clear" w:color="auto" w:fill="1E408A"/>
            <w:vAlign w:val="center"/>
          </w:tcPr>
          <w:p>
            <w:r>
              <w:rPr>
                <w:b/>
                <w:color w:val="FFFFFF"/>
                <w:sz w:val="21"/>
              </w:rPr>
              <w:t>Duplicate JWT Cookie Sets Unnecessary Attack Surface</w:t>
            </w:r>
          </w:p>
        </w:tc>
        <w:tc>
          <w:tcPr>
            <w:tcW w:type="dxa" w:w="3024"/>
            <w:shd w:val="clear" w:color="auto" w:fill="F0B42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  MEDIUM</w:t>
            </w:r>
          </w:p>
        </w:tc>
      </w:tr>
      <w:tr>
        <w:tc>
          <w:tcPr>
            <w:tcW w:type="dxa" w:w="10224"/>
            <w:gridSpan w:val="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 xml:space="preserve">Location: </w:t>
            </w:r>
            <w:r>
              <w:rPr>
                <w:rFonts w:ascii="Calibri" w:hAnsi="Calibri"/>
                <w:sz w:val="20"/>
              </w:rPr>
              <w:t>/api/login  (POST) — cookies "token" and "auth_token"</w:t>
            </w:r>
          </w:p>
        </w:tc>
      </w:tr>
      <w:tr>
        <w:tc>
          <w:tcPr>
            <w:tcW w:type="dxa" w:w="10224"/>
            <w:gridSpan w:val="3"/>
            <w:shd w:val="clear" w:color="auto" w:fill="F9FAFB"/>
          </w:tcPr>
          <w:p>
            <w:r>
              <w:rPr>
                <w:rFonts w:ascii="Calibri" w:hAnsi="Calibri"/>
                <w:b/>
                <w:sz w:val="20"/>
              </w:rPr>
              <w:t xml:space="preserve">Description: </w:t>
            </w:r>
            <w:r>
              <w:rPr>
                <w:rFonts w:ascii="Calibri" w:hAnsi="Calibri"/>
                <w:sz w:val="20"/>
              </w:rPr>
              <w:t>The login handler sets two identical JWT cookies: token and auth_token, with the same payload, expiry, and flags. Both are subsequently read in different parts of the application. This inconsistency suggests different code paths may have different security properties.</w:t>
            </w:r>
          </w:p>
        </w:tc>
      </w:tr>
      <w:tr>
        <w:tc>
          <w:tcPr>
            <w:tcW w:type="dxa" w:w="10224"/>
            <w:gridSpan w:val="3"/>
            <w:shd w:val="clear" w:color="auto" w:fill="FFF8F0"/>
          </w:tcPr>
          <w:p>
            <w:r>
              <w:rPr>
                <w:rFonts w:ascii="Calibri" w:hAnsi="Calibri"/>
                <w:b/>
                <w:sz w:val="20"/>
              </w:rPr>
              <w:t xml:space="preserve">Impact: </w:t>
            </w:r>
            <w:r>
              <w:rPr>
                <w:rFonts w:ascii="Calibri" w:hAnsi="Calibri"/>
                <w:sz w:val="20"/>
              </w:rPr>
              <w:t>Having two tokens doubles the risk of a token being leaked or misread. If one path does not enforce httpOnly or secure correctly, it becomes an XSS extraction vector.</w:t>
            </w:r>
          </w:p>
        </w:tc>
      </w:tr>
      <w:tr>
        <w:tc>
          <w:tcPr>
            <w:tcW w:type="dxa" w:w="10224"/>
            <w:gridSpan w:val="3"/>
            <w:shd w:val="clear" w:color="auto" w:fill="F0FDF4"/>
          </w:tcPr>
          <w:p>
            <w:r>
              <w:rPr>
                <w:rFonts w:ascii="Calibri" w:hAnsi="Calibri"/>
                <w:b/>
                <w:sz w:val="20"/>
              </w:rPr>
              <w:t>Remediation: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Consolidate to a single cookie named auth_token (or token) everywhere.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Audit all getCurrentApiUser() calls to confirm they read from one consistent cookie name.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Remove the redundant cookie from the login response.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8064"/>
        <w:gridCol w:w="1584"/>
      </w:tblGrid>
      <w:tr>
        <w:trPr>
          <w:trHeight w:val="440"/>
        </w:trPr>
        <w:tc>
          <w:tcPr>
            <w:tcW w:type="dxa" w:w="3024"/>
            <w:shd w:val="clear" w:color="auto" w:fill="1E40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F09</w:t>
            </w:r>
          </w:p>
        </w:tc>
        <w:tc>
          <w:tcPr>
            <w:tcW w:type="dxa" w:w="3024"/>
            <w:shd w:val="clear" w:color="auto" w:fill="1E408A"/>
            <w:vAlign w:val="center"/>
          </w:tcPr>
          <w:p>
            <w:r>
              <w:rPr>
                <w:b/>
                <w:color w:val="FFFFFF"/>
                <w:sz w:val="21"/>
              </w:rPr>
              <w:t>OTP Logged to Console Including Contact Information</w:t>
            </w:r>
          </w:p>
        </w:tc>
        <w:tc>
          <w:tcPr>
            <w:tcW w:type="dxa" w:w="3024"/>
            <w:shd w:val="clear" w:color="auto" w:fill="F0B42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  MEDIUM</w:t>
            </w:r>
          </w:p>
        </w:tc>
      </w:tr>
      <w:tr>
        <w:tc>
          <w:tcPr>
            <w:tcW w:type="dxa" w:w="10224"/>
            <w:gridSpan w:val="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 xml:space="preserve">Location: </w:t>
            </w:r>
            <w:r>
              <w:rPr>
                <w:rFonts w:ascii="Calibri" w:hAnsi="Calibri"/>
                <w:sz w:val="20"/>
              </w:rPr>
              <w:t>/api/register  (POST) — lines 256–259</w:t>
            </w:r>
          </w:p>
        </w:tc>
      </w:tr>
      <w:tr>
        <w:tc>
          <w:tcPr>
            <w:tcW w:type="dxa" w:w="10224"/>
            <w:gridSpan w:val="3"/>
            <w:shd w:val="clear" w:color="auto" w:fill="F9FAFB"/>
          </w:tcPr>
          <w:p>
            <w:r>
              <w:rPr>
                <w:rFonts w:ascii="Calibri" w:hAnsi="Calibri"/>
                <w:b/>
                <w:sz w:val="20"/>
              </w:rPr>
              <w:t xml:space="preserve">Description: </w:t>
            </w:r>
            <w:r>
              <w:rPr>
                <w:rFonts w:ascii="Calibri" w:hAnsi="Calibri"/>
                <w:sz w:val="20"/>
              </w:rPr>
              <w:t>After sending an OTP the register handler logs "OTP SENT TO PHONE: &lt;number&gt;" and "OTP SENT TO EMAIL: &lt;email&gt;" to the server console. On Vercel, these logs are stored in the deployment log stream and visible to anyone with project access.</w:t>
            </w:r>
          </w:p>
        </w:tc>
      </w:tr>
      <w:tr>
        <w:tc>
          <w:tcPr>
            <w:tcW w:type="dxa" w:w="10224"/>
            <w:gridSpan w:val="3"/>
            <w:shd w:val="clear" w:color="auto" w:fill="FFF8F0"/>
          </w:tcPr>
          <w:p>
            <w:r>
              <w:rPr>
                <w:rFonts w:ascii="Calibri" w:hAnsi="Calibri"/>
                <w:b/>
                <w:sz w:val="20"/>
              </w:rPr>
              <w:t xml:space="preserve">Impact: </w:t>
            </w:r>
            <w:r>
              <w:rPr>
                <w:rFonts w:ascii="Calibri" w:hAnsi="Calibri"/>
                <w:sz w:val="20"/>
              </w:rPr>
              <w:t>Phone numbers and email addresses (PII) are written to logs. This violates data minimisation principles and creates a secondary exposure vector for OTP codes if logs are compromised.</w:t>
            </w:r>
          </w:p>
        </w:tc>
      </w:tr>
      <w:tr>
        <w:tc>
          <w:tcPr>
            <w:tcW w:type="dxa" w:w="10224"/>
            <w:gridSpan w:val="3"/>
            <w:shd w:val="clear" w:color="auto" w:fill="F0FDF4"/>
          </w:tcPr>
          <w:p>
            <w:r>
              <w:rPr>
                <w:rFonts w:ascii="Calibri" w:hAnsi="Calibri"/>
                <w:b/>
                <w:sz w:val="20"/>
              </w:rPr>
              <w:t>Remediation: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Remove the console.log statements that include contact information or OTP values.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Replace with a non-PII log: console.log("OTP dispatched via", method)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Never log credentials, OTPs, tokens, or PII to any log sink.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8064"/>
        <w:gridCol w:w="1584"/>
      </w:tblGrid>
      <w:tr>
        <w:trPr>
          <w:trHeight w:val="440"/>
        </w:trPr>
        <w:tc>
          <w:tcPr>
            <w:tcW w:type="dxa" w:w="3024"/>
            <w:shd w:val="clear" w:color="auto" w:fill="1E40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F10</w:t>
            </w:r>
          </w:p>
        </w:tc>
        <w:tc>
          <w:tcPr>
            <w:tcW w:type="dxa" w:w="3024"/>
            <w:shd w:val="clear" w:color="auto" w:fill="1E408A"/>
            <w:vAlign w:val="center"/>
          </w:tcPr>
          <w:p>
            <w:r>
              <w:rPr>
                <w:b/>
                <w:color w:val="FFFFFF"/>
                <w:sz w:val="21"/>
              </w:rPr>
              <w:t>No Security Response Headers Configured</w:t>
            </w:r>
          </w:p>
        </w:tc>
        <w:tc>
          <w:tcPr>
            <w:tcW w:type="dxa" w:w="3024"/>
            <w:shd w:val="clear" w:color="auto" w:fill="27AE60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  LOW</w:t>
            </w:r>
          </w:p>
        </w:tc>
      </w:tr>
      <w:tr>
        <w:tc>
          <w:tcPr>
            <w:tcW w:type="dxa" w:w="10224"/>
            <w:gridSpan w:val="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 xml:space="preserve">Location: </w:t>
            </w:r>
            <w:r>
              <w:rPr>
                <w:rFonts w:ascii="Calibri" w:hAnsi="Calibri"/>
                <w:sz w:val="20"/>
              </w:rPr>
              <w:t>next.config.js  (headers not set)</w:t>
            </w:r>
          </w:p>
        </w:tc>
      </w:tr>
      <w:tr>
        <w:tc>
          <w:tcPr>
            <w:tcW w:type="dxa" w:w="10224"/>
            <w:gridSpan w:val="3"/>
            <w:shd w:val="clear" w:color="auto" w:fill="F9FAFB"/>
          </w:tcPr>
          <w:p>
            <w:r>
              <w:rPr>
                <w:rFonts w:ascii="Calibri" w:hAnsi="Calibri"/>
                <w:b/>
                <w:sz w:val="20"/>
              </w:rPr>
              <w:t xml:space="preserve">Description: </w:t>
            </w:r>
            <w:r>
              <w:rPr>
                <w:rFonts w:ascii="Calibri" w:hAnsi="Calibri"/>
                <w:sz w:val="20"/>
              </w:rPr>
              <w:t>The application does not set any security-related HTTP response headers: no Content-Security-Policy, no X-Frame-Options, no X-Content-Type-Options, no Referrer-Policy, and no Permissions-Policy. The camera permission (used by QR scanner) is requested with no Permissions-Policy scoping.</w:t>
            </w:r>
          </w:p>
        </w:tc>
      </w:tr>
      <w:tr>
        <w:tc>
          <w:tcPr>
            <w:tcW w:type="dxa" w:w="10224"/>
            <w:gridSpan w:val="3"/>
            <w:shd w:val="clear" w:color="auto" w:fill="FFF8F0"/>
          </w:tcPr>
          <w:p>
            <w:r>
              <w:rPr>
                <w:rFonts w:ascii="Calibri" w:hAnsi="Calibri"/>
                <w:b/>
                <w:sz w:val="20"/>
              </w:rPr>
              <w:t xml:space="preserve">Impact: </w:t>
            </w:r>
            <w:r>
              <w:rPr>
                <w:rFonts w:ascii="Calibri" w:hAnsi="Calibri"/>
                <w:sz w:val="20"/>
              </w:rPr>
              <w:t>Absence of CSP enables XSS escalation. Missing X-Frame-Options allows clickjacking. Missing X-Content-Type-Options enables MIME-sniffing attacks on uploaded images.</w:t>
            </w:r>
          </w:p>
        </w:tc>
      </w:tr>
      <w:tr>
        <w:tc>
          <w:tcPr>
            <w:tcW w:type="dxa" w:w="10224"/>
            <w:gridSpan w:val="3"/>
            <w:shd w:val="clear" w:color="auto" w:fill="F0FDF4"/>
          </w:tcPr>
          <w:p>
            <w:r>
              <w:rPr>
                <w:rFonts w:ascii="Calibri" w:hAnsi="Calibri"/>
                <w:b/>
                <w:sz w:val="20"/>
              </w:rPr>
              <w:t>Remediation: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Add a headers() function to next.config.js with at minimum: X-Frame-Options: DENY, X-Content-Type-Options: nosniff, Referrer-Policy: strict-origin-when-cross-origin.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Add Permissions-Policy: camera=self to scope camera access to your own origin only.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Consider a strict Content-Security-Policy once the application is stable.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8064"/>
        <w:gridCol w:w="1584"/>
      </w:tblGrid>
      <w:tr>
        <w:trPr>
          <w:trHeight w:val="440"/>
        </w:trPr>
        <w:tc>
          <w:tcPr>
            <w:tcW w:type="dxa" w:w="3024"/>
            <w:shd w:val="clear" w:color="auto" w:fill="1E40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F11</w:t>
            </w:r>
          </w:p>
        </w:tc>
        <w:tc>
          <w:tcPr>
            <w:tcW w:type="dxa" w:w="3024"/>
            <w:shd w:val="clear" w:color="auto" w:fill="1E408A"/>
            <w:vAlign w:val="center"/>
          </w:tcPr>
          <w:p>
            <w:r>
              <w:rPr>
                <w:b/>
                <w:color w:val="FFFFFF"/>
                <w:sz w:val="21"/>
              </w:rPr>
              <w:t>Health Check Endpoint Leaks Infrastructure Configuration</w:t>
            </w:r>
          </w:p>
        </w:tc>
        <w:tc>
          <w:tcPr>
            <w:tcW w:type="dxa" w:w="3024"/>
            <w:shd w:val="clear" w:color="auto" w:fill="27AE60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  LOW</w:t>
            </w:r>
          </w:p>
        </w:tc>
      </w:tr>
      <w:tr>
        <w:tc>
          <w:tcPr>
            <w:tcW w:type="dxa" w:w="10224"/>
            <w:gridSpan w:val="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 xml:space="preserve">Location: </w:t>
            </w:r>
            <w:r>
              <w:rPr>
                <w:rFonts w:ascii="Calibri" w:hAnsi="Calibri"/>
                <w:sz w:val="20"/>
              </w:rPr>
              <w:t>/api/health  (GET — publicly accessible)</w:t>
            </w:r>
          </w:p>
        </w:tc>
      </w:tr>
      <w:tr>
        <w:tc>
          <w:tcPr>
            <w:tcW w:type="dxa" w:w="10224"/>
            <w:gridSpan w:val="3"/>
            <w:shd w:val="clear" w:color="auto" w:fill="F9FAFB"/>
          </w:tcPr>
          <w:p>
            <w:r>
              <w:rPr>
                <w:rFonts w:ascii="Calibri" w:hAnsi="Calibri"/>
                <w:b/>
                <w:sz w:val="20"/>
              </w:rPr>
              <w:t xml:space="preserve">Description: </w:t>
            </w:r>
            <w:r>
              <w:rPr>
                <w:rFonts w:ascii="Calibri" w:hAnsi="Calibri"/>
                <w:sz w:val="20"/>
              </w:rPr>
              <w:t>The /api/health endpoint returns a JSON object that lists which environment variables are configured (JWT_SECRET, DATABASE_URL, EMAIL_USER, NEXT_PUBLIC_APP_URL) and provides the current app URL. It also hints at internal setup steps (seed-admin).</w:t>
            </w:r>
          </w:p>
        </w:tc>
      </w:tr>
      <w:tr>
        <w:tc>
          <w:tcPr>
            <w:tcW w:type="dxa" w:w="10224"/>
            <w:gridSpan w:val="3"/>
            <w:shd w:val="clear" w:color="auto" w:fill="FFF8F0"/>
          </w:tcPr>
          <w:p>
            <w:r>
              <w:rPr>
                <w:rFonts w:ascii="Calibri" w:hAnsi="Calibri"/>
                <w:b/>
                <w:sz w:val="20"/>
              </w:rPr>
              <w:t xml:space="preserve">Impact: </w:t>
            </w:r>
            <w:r>
              <w:rPr>
                <w:rFonts w:ascii="Calibri" w:hAnsi="Calibri"/>
                <w:sz w:val="20"/>
              </w:rPr>
              <w:t>Reconnaissance tool for attackers. Confirms which services are wired up, narrows attack surface analysis, and validates that a credential leak would be exploitable.</w:t>
            </w:r>
          </w:p>
        </w:tc>
      </w:tr>
      <w:tr>
        <w:tc>
          <w:tcPr>
            <w:tcW w:type="dxa" w:w="10224"/>
            <w:gridSpan w:val="3"/>
            <w:shd w:val="clear" w:color="auto" w:fill="F0FDF4"/>
          </w:tcPr>
          <w:p>
            <w:r>
              <w:rPr>
                <w:rFonts w:ascii="Calibri" w:hAnsi="Calibri"/>
                <w:b/>
                <w:sz w:val="20"/>
              </w:rPr>
              <w:t>Remediation: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Remove the configured map from the public response — it should not enumerate secret names.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If a health check is needed for monitoring, return only { ok: true } publicly.</w:t>
            </w:r>
          </w:p>
          <w:p>
            <w:pPr>
              <w:spacing w:before="20"/>
              <w:ind w:left="288"/>
            </w:pPr>
            <w:r>
              <w:rPr>
                <w:rFonts w:ascii="Calibri" w:hAnsi="Calibri"/>
                <w:sz w:val="20"/>
              </w:rPr>
              <w:t xml:space="preserve">  •  Protect the detailed version behind an internal secret header or restrict to Vercel's VERCEL_ENV === "development".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E408A"/>
          <w:sz w:val="30"/>
        </w:rPr>
        <w:t>4. Remediation Priority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8A"/>
          </w:tcPr>
          <w:p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268"/>
            <w:shd w:val="clear" w:color="auto" w:fill="1E408A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268"/>
            <w:shd w:val="clear" w:color="auto" w:fill="1E408A"/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268"/>
            <w:shd w:val="clear" w:color="auto" w:fill="1E408A"/>
          </w:tcPr>
          <w:p>
            <w:r>
              <w:rPr>
                <w:b/>
                <w:color w:val="FFFFFF"/>
                <w:sz w:val="20"/>
              </w:rPr>
              <w:t>Fix Before Go-Live?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F01 — Seed Admin Endpoint</w:t>
            </w:r>
          </w:p>
        </w:tc>
        <w:tc>
          <w:tcPr>
            <w:tcW w:type="dxa" w:w="2268"/>
            <w:shd w:val="clear" w:color="auto" w:fill="FADBD8"/>
          </w:tcPr>
          <w:p>
            <w:r>
              <w:rPr>
                <w:rFonts w:ascii="Calibri" w:hAnsi="Calibri"/>
                <w:sz w:val="20"/>
              </w:rPr>
              <w:t>CRITICAL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Low  (delete the file)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YES — Immediately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F02 — Password Reset No Token</w:t>
            </w:r>
          </w:p>
        </w:tc>
        <w:tc>
          <w:tcPr>
            <w:tcW w:type="dxa" w:w="2268"/>
            <w:shd w:val="clear" w:color="auto" w:fill="FADBD8"/>
          </w:tcPr>
          <w:p>
            <w:r>
              <w:rPr>
                <w:rFonts w:ascii="Calibri" w:hAnsi="Calibri"/>
                <w:sz w:val="20"/>
              </w:rPr>
              <w:t>CRITICAL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Medium (add token check)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YES — Immediately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F03 — OTP Leaked in Response</w:t>
            </w:r>
          </w:p>
        </w:tc>
        <w:tc>
          <w:tcPr>
            <w:tcW w:type="dxa" w:w="2268"/>
            <w:shd w:val="clear" w:color="auto" w:fill="FADBD8"/>
          </w:tcPr>
          <w:p>
            <w:r>
              <w:rPr>
                <w:rFonts w:ascii="Calibri" w:hAnsi="Calibri"/>
                <w:sz w:val="20"/>
              </w:rPr>
              <w:t>CRITICAL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Low  (remove one line)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YES — Immediately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F04 — No Rate Limiting</w:t>
            </w:r>
          </w:p>
        </w:tc>
        <w:tc>
          <w:tcPr>
            <w:tcW w:type="dxa" w:w="2268"/>
            <w:shd w:val="clear" w:color="auto" w:fill="FDEBD0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Medium (add middleware)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F05 — Username Enumeration</w:t>
            </w:r>
          </w:p>
        </w:tc>
        <w:tc>
          <w:tcPr>
            <w:tcW w:type="dxa" w:w="2268"/>
            <w:shd w:val="clear" w:color="auto" w:fill="FDEBD0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Low  (unify error message)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F06 — Unauthenticated Upload</w:t>
            </w:r>
          </w:p>
        </w:tc>
        <w:tc>
          <w:tcPr>
            <w:tcW w:type="dxa" w:w="2268"/>
            <w:shd w:val="clear" w:color="auto" w:fill="FDEBD0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Low  (add auth + type check)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F07 — Weak JWT Secret</w:t>
            </w:r>
          </w:p>
        </w:tc>
        <w:tc>
          <w:tcPr>
            <w:tcW w:type="dxa" w:w="2268"/>
            <w:shd w:val="clear" w:color="auto" w:fill="FEF9E7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Low  (rotate secret)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F08 — Duplicate JWT Cookie</w:t>
            </w:r>
          </w:p>
        </w:tc>
        <w:tc>
          <w:tcPr>
            <w:tcW w:type="dxa" w:w="2268"/>
            <w:shd w:val="clear" w:color="auto" w:fill="FEF9E7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Low  (remove one cookie)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Recommended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F09 — PII in Logs</w:t>
            </w:r>
          </w:p>
        </w:tc>
        <w:tc>
          <w:tcPr>
            <w:tcW w:type="dxa" w:w="2268"/>
            <w:shd w:val="clear" w:color="auto" w:fill="FEF9E7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Low  (remove console.log)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Recommended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F10 — Missing Security Headers</w:t>
            </w:r>
          </w:p>
        </w:tc>
        <w:tc>
          <w:tcPr>
            <w:tcW w:type="dxa" w:w="2268"/>
            <w:shd w:val="clear" w:color="auto" w:fill="EAFAF1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Low  (next.config.js)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Recommended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F11 — Health Endpoint Leak</w:t>
            </w:r>
          </w:p>
        </w:tc>
        <w:tc>
          <w:tcPr>
            <w:tcW w:type="dxa" w:w="2268"/>
            <w:shd w:val="clear" w:color="auto" w:fill="EAFAF1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Low  (simplify response)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Recommended</w:t>
            </w:r>
          </w:p>
        </w:tc>
      </w:tr>
    </w:tbl>
    <w:p/>
    <w:p>
      <w:pPr>
        <w:spacing w:before="280" w:after="80"/>
      </w:pPr>
      <w:r>
        <w:rPr>
          <w:b/>
          <w:color w:val="1E408A"/>
          <w:sz w:val="30"/>
        </w:rPr>
        <w:t>5. Positive Security Practices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The following controls are correctly implemented: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1"/>
        </w:rPr>
        <w:t>Passwords hashed with bcryptjs (cost factor 10) — no plaintext storage.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1"/>
        </w:rPr>
        <w:t>JWT cookies set with httpOnly: true and secure: true in production — XSS cannot steal tokens.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1"/>
        </w:rPr>
        <w:t>sameSite: "lax" on cookies provides basic CSRF protection.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1"/>
        </w:rPr>
        <w:t>Database credentials stored in environment variables and excluded from version control via .gitignore.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1"/>
        </w:rPr>
        <w:t>Barangay-scoped data queries (barangayId checks) prevent cross-tenant data leakage.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1"/>
        </w:rPr>
        <w:t>OTP expiry enforced (5-minute window) for registration verification.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1"/>
        </w:rPr>
        <w:t>Prisma ORM used throughout — parameterised queries prevent SQL injection.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1"/>
        </w:rPr>
        <w:t>Neon PostgreSQL connection uses SSL (sslmode=require) — data in transit is encrypted.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1"/>
        </w:rPr>
        <w:t>AES-256 / RBAC referenced in the QR scan UI — architecture supports role-based access.</w:t>
      </w:r>
    </w:p>
    <w:p>
      <w:pPr>
        <w:spacing w:before="280" w:after="80"/>
      </w:pPr>
      <w:r>
        <w:rPr>
          <w:b/>
          <w:color w:val="1E408A"/>
          <w:sz w:val="30"/>
        </w:rPr>
        <w:t>6. Disclaimer</w:t>
      </w:r>
    </w:p>
    <w:p>
      <w:pPr>
        <w:spacing w:before="40" w:after="80"/>
      </w:pPr>
      <w:r>
        <w:rPr>
          <w:rFonts w:ascii="Calibri" w:hAnsi="Calibri"/>
          <w:b w:val="0"/>
          <w:sz w:val="21"/>
        </w:rPr>
        <w:t>This audit was performed as a static code review. It does not constitute a penetration test and may not identify all vulnerabilities present in the running system. Dynamic testing, dependency vulnerability scanning (npm audit), and infrastructure review (Vercel config, Neon firewall rules, DNS/DMARC records) are recommended as follow-on activities. All findings should be remediated and re-tested before the system processes real patient data.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