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1855CD9D" w14:textId="141A41D6" w:rsidR="00E947F9" w:rsidRPr="007C2A1D" w:rsidRDefault="00E947F9" w:rsidP="007C2A1D">
      <w:pPr>
        <w:spacing w:after="0" w:line="360" w:lineRule="auto"/>
        <w:jc w:val="center"/>
        <w:rPr>
          <w:rFonts w:ascii="Times New Roman" w:hAnsi="Times New Roman" w:cs="Times New Roman"/>
          <w:b/>
          <w:bCs/>
          <w:color w:val="2F5496" w:themeColor="accent1" w:themeShade="BF"/>
          <w:sz w:val="36"/>
          <w:szCs w:val="36"/>
        </w:rPr>
      </w:pPr>
      <w:r w:rsidRPr="00E947F9">
        <w:rPr>
          <w:rFonts w:ascii="Times New Roman" w:hAnsi="Times New Roman" w:cs="Times New Roman"/>
          <w:b/>
          <w:bCs/>
          <w:color w:val="2F5496" w:themeColor="accent1" w:themeShade="BF"/>
          <w:sz w:val="36"/>
          <w:szCs w:val="36"/>
        </w:rPr>
        <w:t xml:space="preserve">INSURANCE </w:t>
      </w:r>
      <w:r w:rsidR="007C2A1D">
        <w:rPr>
          <w:rFonts w:ascii="Times New Roman" w:hAnsi="Times New Roman" w:cs="Times New Roman"/>
          <w:b/>
          <w:bCs/>
          <w:color w:val="2F5496" w:themeColor="accent1" w:themeShade="BF"/>
          <w:sz w:val="36"/>
          <w:szCs w:val="36"/>
        </w:rPr>
        <w:t>CLAIMS</w:t>
      </w:r>
      <w:r w:rsidR="001658B9">
        <w:rPr>
          <w:rFonts w:ascii="Times New Roman" w:hAnsi="Times New Roman" w:cs="Times New Roman"/>
          <w:b/>
          <w:bCs/>
          <w:color w:val="2F5496" w:themeColor="accent1" w:themeShade="BF"/>
          <w:sz w:val="36"/>
          <w:szCs w:val="36"/>
        </w:rPr>
        <w:t xml:space="preserve"> &amp; </w:t>
      </w:r>
      <w:r w:rsidR="007C2A1D">
        <w:rPr>
          <w:rFonts w:ascii="Times New Roman" w:hAnsi="Times New Roman" w:cs="Times New Roman"/>
          <w:b/>
          <w:bCs/>
          <w:color w:val="2F5496" w:themeColor="accent1" w:themeShade="BF"/>
          <w:sz w:val="36"/>
          <w:szCs w:val="36"/>
        </w:rPr>
        <w:t>RISK</w:t>
      </w:r>
      <w:r w:rsidR="001658B9">
        <w:rPr>
          <w:rFonts w:ascii="Times New Roman" w:hAnsi="Times New Roman" w:cs="Times New Roman"/>
          <w:b/>
          <w:bCs/>
          <w:color w:val="2F5496" w:themeColor="accent1" w:themeShade="BF"/>
          <w:sz w:val="36"/>
          <w:szCs w:val="36"/>
        </w:rPr>
        <w:t xml:space="preserve"> ANALYSIS</w:t>
      </w:r>
    </w:p>
    <w:p w14:paraId="681B0199" w14:textId="029ABF31"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may influence driving behaviour and insurance risk.</w:t>
      </w:r>
    </w:p>
    <w:p w14:paraId="6F193906" w14:textId="1A9E18EF"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The dataset also captures rich details about the insured vehicle, including car make, model, colour,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14:paraId="35AD9158"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 xml:space="preserve">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w:t>
      </w:r>
      <w:proofErr w:type="spellStart"/>
      <w:r w:rsidRPr="00E947F9">
        <w:rPr>
          <w:rFonts w:ascii="Times New Roman" w:hAnsi="Times New Roman" w:cs="Times New Roman"/>
          <w:color w:val="002060"/>
          <w:sz w:val="24"/>
          <w:szCs w:val="24"/>
        </w:rPr>
        <w:t>behavior</w:t>
      </w:r>
      <w:proofErr w:type="spellEnd"/>
      <w:r w:rsidRPr="00E947F9">
        <w:rPr>
          <w:rFonts w:ascii="Times New Roman" w:hAnsi="Times New Roman" w:cs="Times New Roman"/>
          <w:color w:val="002060"/>
          <w:sz w:val="24"/>
          <w:szCs w:val="24"/>
        </w:rPr>
        <w:t>, since households with multiple young drivers are typically considered riskier by insurers.</w:t>
      </w:r>
    </w:p>
    <w:p w14:paraId="5EADA1AD"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14:paraId="4A2B3550" w14:textId="77777777" w:rsidR="00E947F9" w:rsidRPr="00E947F9" w:rsidRDefault="00E947F9" w:rsidP="00E947F9">
      <w:pPr>
        <w:spacing w:after="0" w:line="360" w:lineRule="auto"/>
        <w:rPr>
          <w:rFonts w:ascii="Times New Roman" w:hAnsi="Times New Roman" w:cs="Times New Roman"/>
          <w:b/>
          <w:bCs/>
          <w:color w:val="002060"/>
          <w:sz w:val="32"/>
          <w:szCs w:val="32"/>
        </w:rPr>
      </w:pPr>
    </w:p>
    <w:p w14:paraId="3A4A2384" w14:textId="1EFCC5F0"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 ID</w:t>
      </w:r>
    </w:p>
    <w:p w14:paraId="49416155"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 unique identifier assigned to each policyholder or insurance record.</w:t>
      </w:r>
    </w:p>
    <w:p w14:paraId="6C3FE6AC"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or text (Primary Key).</w:t>
      </w:r>
    </w:p>
    <w:p w14:paraId="6A814ACB"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D1F46C0"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Ensures each policy/customer record is unique.</w:t>
      </w:r>
    </w:p>
    <w:p w14:paraId="33EA415E"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Not used directly in analysis but essential for data integrity, relationships, and avoiding duplicates.</w:t>
      </w:r>
    </w:p>
    <w:p w14:paraId="3CDA7250"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r w:rsidRPr="00E947F9">
        <w:rPr>
          <w:rFonts w:ascii="Times New Roman" w:hAnsi="Times New Roman" w:cs="Times New Roman"/>
          <w:sz w:val="24"/>
          <w:szCs w:val="24"/>
        </w:rPr>
        <w:t xml:space="preserve"> Helps track individual policyholders across multiple datasets (e.g., linking claims, payments, or renewals).</w:t>
      </w:r>
    </w:p>
    <w:p w14:paraId="236045A0" w14:textId="72B3602D" w:rsidR="00E947F9" w:rsidRPr="00E947F9" w:rsidRDefault="00E947F9" w:rsidP="00E947F9">
      <w:pPr>
        <w:spacing w:after="0" w:line="360" w:lineRule="auto"/>
        <w:jc w:val="both"/>
        <w:rPr>
          <w:rFonts w:ascii="Times New Roman" w:hAnsi="Times New Roman" w:cs="Times New Roman"/>
          <w:sz w:val="24"/>
          <w:szCs w:val="24"/>
        </w:rPr>
      </w:pPr>
    </w:p>
    <w:p w14:paraId="3F5BC77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2. Birthdate</w:t>
      </w:r>
    </w:p>
    <w:p w14:paraId="3EFF1C5B"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Date of birth of the policyholder.</w:t>
      </w:r>
    </w:p>
    <w:p w14:paraId="5BEFB4E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Date.</w:t>
      </w:r>
    </w:p>
    <w:p w14:paraId="15FB3C8A"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624E25F7"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the </w:t>
      </w:r>
      <w:r w:rsidRPr="00E947F9">
        <w:rPr>
          <w:rFonts w:ascii="Times New Roman" w:hAnsi="Times New Roman" w:cs="Times New Roman"/>
          <w:b/>
          <w:bCs/>
          <w:sz w:val="24"/>
          <w:szCs w:val="24"/>
        </w:rPr>
        <w:t>Age</w:t>
      </w:r>
      <w:r w:rsidRPr="00E947F9">
        <w:rPr>
          <w:rFonts w:ascii="Times New Roman" w:hAnsi="Times New Roman" w:cs="Times New Roman"/>
          <w:sz w:val="24"/>
          <w:szCs w:val="24"/>
        </w:rPr>
        <w:t xml:space="preserve"> of the policyholder.</w:t>
      </w:r>
    </w:p>
    <w:p w14:paraId="6B135888"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 is a strong factor in insurance risk assessment (younger drivers may have more accidents, older drivers may have slower reflexes).</w:t>
      </w:r>
    </w:p>
    <w:p w14:paraId="6038578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C820B0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age groups (e.g., &lt;25, 25–40, 40–60, 60+).</w:t>
      </w:r>
    </w:p>
    <w:p w14:paraId="53EE5F4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Age-based pricing of premiums and risk profiling.</w:t>
      </w:r>
    </w:p>
    <w:p w14:paraId="7ACA8002" w14:textId="667D940F" w:rsidR="00E947F9" w:rsidRPr="00E947F9" w:rsidRDefault="00E947F9" w:rsidP="00E947F9">
      <w:pPr>
        <w:spacing w:after="0" w:line="360" w:lineRule="auto"/>
        <w:jc w:val="both"/>
        <w:rPr>
          <w:rFonts w:ascii="Times New Roman" w:hAnsi="Times New Roman" w:cs="Times New Roman"/>
          <w:sz w:val="24"/>
          <w:szCs w:val="24"/>
        </w:rPr>
      </w:pPr>
    </w:p>
    <w:p w14:paraId="459DBCA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 xml:space="preserve">3. Car </w:t>
      </w:r>
      <w:proofErr w:type="spellStart"/>
      <w:r w:rsidRPr="00E947F9">
        <w:rPr>
          <w:rFonts w:ascii="Times New Roman" w:hAnsi="Times New Roman" w:cs="Times New Roman"/>
          <w:b/>
          <w:bCs/>
          <w:sz w:val="24"/>
          <w:szCs w:val="24"/>
        </w:rPr>
        <w:t>Color</w:t>
      </w:r>
      <w:proofErr w:type="spellEnd"/>
    </w:p>
    <w:p w14:paraId="4F5BD459"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exterior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of the insured car.</w:t>
      </w:r>
    </w:p>
    <w:p w14:paraId="10EE2736"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 (text).</w:t>
      </w:r>
    </w:p>
    <w:p w14:paraId="1B630408"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09E7056"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Although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doesn’t directly affect risk, it can influence </w:t>
      </w:r>
      <w:r w:rsidRPr="00E947F9">
        <w:rPr>
          <w:rFonts w:ascii="Times New Roman" w:hAnsi="Times New Roman" w:cs="Times New Roman"/>
          <w:b/>
          <w:bCs/>
          <w:sz w:val="24"/>
          <w:szCs w:val="24"/>
        </w:rPr>
        <w:t>car visibility, theft probability, and customer preferences</w:t>
      </w:r>
      <w:r w:rsidRPr="00E947F9">
        <w:rPr>
          <w:rFonts w:ascii="Times New Roman" w:hAnsi="Times New Roman" w:cs="Times New Roman"/>
          <w:sz w:val="24"/>
          <w:szCs w:val="24"/>
        </w:rPr>
        <w:t>.</w:t>
      </w:r>
    </w:p>
    <w:p w14:paraId="19486D62"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0A990FC9"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Explore patterns (e.g., some studies suggest red cars might be involved in more speeding cases).</w:t>
      </w:r>
    </w:p>
    <w:p w14:paraId="2CFF5AED"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Insights for fraud detection (unusual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-claim patterns).</w:t>
      </w:r>
    </w:p>
    <w:p w14:paraId="5B5005D2" w14:textId="7AA5EB12" w:rsidR="00E947F9" w:rsidRPr="00E947F9" w:rsidRDefault="00E947F9" w:rsidP="00E947F9">
      <w:pPr>
        <w:spacing w:after="0" w:line="360" w:lineRule="auto"/>
        <w:jc w:val="both"/>
        <w:rPr>
          <w:rFonts w:ascii="Times New Roman" w:hAnsi="Times New Roman" w:cs="Times New Roman"/>
          <w:sz w:val="24"/>
          <w:szCs w:val="24"/>
        </w:rPr>
      </w:pPr>
    </w:p>
    <w:p w14:paraId="27FC2D52"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4. Car Make</w:t>
      </w:r>
    </w:p>
    <w:p w14:paraId="10636913"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manufacturer/brand of the car (e.g., Toyota, Ford, BMW).</w:t>
      </w:r>
    </w:p>
    <w:p w14:paraId="50C2BFEA"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A494ED2"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961ADD3"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Different makes have varying repair costs and accident likelihood.</w:t>
      </w:r>
    </w:p>
    <w:p w14:paraId="435641D5"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F285B79"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car brand.</w:t>
      </w:r>
    </w:p>
    <w:p w14:paraId="2A4A1BA8"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which brands have higher claim frequency (riskier) vs lower claims (safer).</w:t>
      </w:r>
    </w:p>
    <w:p w14:paraId="7813C8AE"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Useful for underwriting and premium adjustments.</w:t>
      </w:r>
    </w:p>
    <w:p w14:paraId="2A06B472" w14:textId="4A3819C2" w:rsidR="00E947F9" w:rsidRPr="00E947F9" w:rsidRDefault="00E947F9" w:rsidP="00E947F9">
      <w:pPr>
        <w:spacing w:after="0" w:line="360" w:lineRule="auto"/>
        <w:jc w:val="both"/>
        <w:rPr>
          <w:rFonts w:ascii="Times New Roman" w:hAnsi="Times New Roman" w:cs="Times New Roman"/>
          <w:sz w:val="24"/>
          <w:szCs w:val="24"/>
        </w:rPr>
      </w:pPr>
    </w:p>
    <w:p w14:paraId="5E454F5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5. Car Model</w:t>
      </w:r>
    </w:p>
    <w:p w14:paraId="24023D0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Specific model of the car (e.g., Toyota Corolla, BMW X5).</w:t>
      </w:r>
    </w:p>
    <w:p w14:paraId="04EB6599"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5A5595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360AE94"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Provides deeper granularity beyond car make.</w:t>
      </w:r>
    </w:p>
    <w:p w14:paraId="6F162D0B"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Claim risk can vary significantly between models of the same make.</w:t>
      </w:r>
    </w:p>
    <w:p w14:paraId="40CAF190"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44A1F0D0"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for luxury vs economy models.</w:t>
      </w:r>
    </w:p>
    <w:p w14:paraId="13A02AB1"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loss ratio</w:t>
      </w:r>
      <w:r w:rsidRPr="00E947F9">
        <w:rPr>
          <w:rFonts w:ascii="Times New Roman" w:hAnsi="Times New Roman" w:cs="Times New Roman"/>
          <w:sz w:val="24"/>
          <w:szCs w:val="24"/>
        </w:rPr>
        <w:t xml:space="preserve"> analysis by vehicle type.</w:t>
      </w:r>
    </w:p>
    <w:p w14:paraId="02927496" w14:textId="65410A01" w:rsidR="00E947F9" w:rsidRPr="00E947F9" w:rsidRDefault="00E947F9" w:rsidP="00E947F9">
      <w:pPr>
        <w:spacing w:after="0" w:line="360" w:lineRule="auto"/>
        <w:jc w:val="both"/>
        <w:rPr>
          <w:rFonts w:ascii="Times New Roman" w:hAnsi="Times New Roman" w:cs="Times New Roman"/>
          <w:sz w:val="24"/>
          <w:szCs w:val="24"/>
        </w:rPr>
      </w:pPr>
    </w:p>
    <w:p w14:paraId="478F5F6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6. Car Use</w:t>
      </w:r>
    </w:p>
    <w:p w14:paraId="624AF19E"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primary purpose of the car (e.g., Personal, Commercial, Commute).</w:t>
      </w:r>
    </w:p>
    <w:p w14:paraId="70242206"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353A2209"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3895CE"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Commercial and commuting cars usually have higher claim rates due to greater exposure (more time on the road).</w:t>
      </w:r>
    </w:p>
    <w:p w14:paraId="1FD7ADD8"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3034FF2D"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Pricing policies differently for personal vs commercial use.</w:t>
      </w:r>
    </w:p>
    <w:p w14:paraId="7C2E34AA"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profiling based on usage patterns.</w:t>
      </w:r>
    </w:p>
    <w:p w14:paraId="13A75D5D" w14:textId="0B29C319" w:rsidR="00E947F9" w:rsidRPr="00E947F9" w:rsidRDefault="00E947F9" w:rsidP="00E947F9">
      <w:pPr>
        <w:spacing w:after="0" w:line="360" w:lineRule="auto"/>
        <w:jc w:val="both"/>
        <w:rPr>
          <w:rFonts w:ascii="Times New Roman" w:hAnsi="Times New Roman" w:cs="Times New Roman"/>
          <w:sz w:val="24"/>
          <w:szCs w:val="24"/>
        </w:rPr>
      </w:pPr>
    </w:p>
    <w:p w14:paraId="16B57927"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7. Car Year</w:t>
      </w:r>
    </w:p>
    <w:p w14:paraId="4AF581C4"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manufacturing year of the car.</w:t>
      </w:r>
    </w:p>
    <w:p w14:paraId="478029AC"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1ACB93CA"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EF159DE"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Helps calculate </w:t>
      </w:r>
      <w:r w:rsidRPr="00E947F9">
        <w:rPr>
          <w:rFonts w:ascii="Times New Roman" w:hAnsi="Times New Roman" w:cs="Times New Roman"/>
          <w:b/>
          <w:bCs/>
          <w:sz w:val="24"/>
          <w:szCs w:val="24"/>
        </w:rPr>
        <w:t>Car Age</w:t>
      </w:r>
      <w:r w:rsidRPr="00E947F9">
        <w:rPr>
          <w:rFonts w:ascii="Times New Roman" w:hAnsi="Times New Roman" w:cs="Times New Roman"/>
          <w:sz w:val="24"/>
          <w:szCs w:val="24"/>
        </w:rPr>
        <w:t xml:space="preserve"> = Current Year – Car Year.</w:t>
      </w:r>
    </w:p>
    <w:p w14:paraId="5C1156F0"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Older cars may break down more often or have lower resale/repair costs.</w:t>
      </w:r>
    </w:p>
    <w:p w14:paraId="2041255B"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E42EAAC"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Assess claim likelihood by vehicle age.</w:t>
      </w:r>
    </w:p>
    <w:p w14:paraId="6831C7C9"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Create segments like New (&lt;3 years), Mid-age (3–10 years), Old (&gt;10 years).</w:t>
      </w:r>
    </w:p>
    <w:p w14:paraId="58CA5B3C" w14:textId="5C2E5DC9" w:rsidR="00E947F9" w:rsidRDefault="00E947F9" w:rsidP="00E947F9">
      <w:pPr>
        <w:spacing w:after="0" w:line="360" w:lineRule="auto"/>
        <w:jc w:val="both"/>
        <w:rPr>
          <w:rFonts w:ascii="Times New Roman" w:hAnsi="Times New Roman" w:cs="Times New Roman"/>
          <w:sz w:val="24"/>
          <w:szCs w:val="24"/>
        </w:rPr>
      </w:pPr>
    </w:p>
    <w:p w14:paraId="5D6F8FA1" w14:textId="77777777" w:rsidR="00DE29BA" w:rsidRDefault="00DE29BA" w:rsidP="00E947F9">
      <w:pPr>
        <w:spacing w:after="0" w:line="360" w:lineRule="auto"/>
        <w:jc w:val="both"/>
        <w:rPr>
          <w:rFonts w:ascii="Times New Roman" w:hAnsi="Times New Roman" w:cs="Times New Roman"/>
          <w:sz w:val="24"/>
          <w:szCs w:val="24"/>
        </w:rPr>
      </w:pPr>
    </w:p>
    <w:p w14:paraId="60BCEAF1" w14:textId="77777777" w:rsidR="00DE29BA" w:rsidRPr="00E947F9" w:rsidRDefault="00DE29BA" w:rsidP="00E947F9">
      <w:pPr>
        <w:spacing w:after="0" w:line="360" w:lineRule="auto"/>
        <w:jc w:val="both"/>
        <w:rPr>
          <w:rFonts w:ascii="Times New Roman" w:hAnsi="Times New Roman" w:cs="Times New Roman"/>
          <w:sz w:val="24"/>
          <w:szCs w:val="24"/>
        </w:rPr>
      </w:pPr>
    </w:p>
    <w:p w14:paraId="661AF83E"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8. Coverage Zone</w:t>
      </w:r>
    </w:p>
    <w:p w14:paraId="33B24E7F"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Definition:</w:t>
      </w:r>
      <w:r w:rsidRPr="00E947F9">
        <w:rPr>
          <w:rFonts w:ascii="Times New Roman" w:hAnsi="Times New Roman" w:cs="Times New Roman"/>
          <w:sz w:val="24"/>
          <w:szCs w:val="24"/>
        </w:rPr>
        <w:t xml:space="preserve"> The geographic risk area where the policyholder resides/uses the car (e.g., Zone A, Urban, Rural).</w:t>
      </w:r>
    </w:p>
    <w:p w14:paraId="5A7A2E29"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C49B470"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529BE27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Location impacts accident probability, theft risk, and repair costs.</w:t>
      </w:r>
    </w:p>
    <w:p w14:paraId="414C98E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Urban areas → higher claim frequency, rural areas → fewer accidents but possibly more severe damage.</w:t>
      </w:r>
    </w:p>
    <w:p w14:paraId="32936276"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B3522B4"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performance across regions.</w:t>
      </w:r>
    </w:p>
    <w:p w14:paraId="20814B6E"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mapping dashboards in Power BI</w:t>
      </w:r>
      <w:r w:rsidRPr="00E947F9">
        <w:rPr>
          <w:rFonts w:ascii="Times New Roman" w:hAnsi="Times New Roman" w:cs="Times New Roman"/>
          <w:sz w:val="24"/>
          <w:szCs w:val="24"/>
        </w:rPr>
        <w:t>.</w:t>
      </w:r>
    </w:p>
    <w:p w14:paraId="1B376DFD" w14:textId="4A8E0D05" w:rsidR="00E947F9" w:rsidRPr="00E947F9" w:rsidRDefault="00E947F9" w:rsidP="00E947F9">
      <w:pPr>
        <w:spacing w:after="0" w:line="360" w:lineRule="auto"/>
        <w:jc w:val="both"/>
        <w:rPr>
          <w:rFonts w:ascii="Times New Roman" w:hAnsi="Times New Roman" w:cs="Times New Roman"/>
          <w:sz w:val="24"/>
          <w:szCs w:val="24"/>
        </w:rPr>
      </w:pPr>
    </w:p>
    <w:p w14:paraId="3883512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9. Education</w:t>
      </w:r>
    </w:p>
    <w:p w14:paraId="20CC7778"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highest education level attained by the policyholder (e.g., High School, Graduate, Postgraduate).</w:t>
      </w:r>
    </w:p>
    <w:p w14:paraId="5F10029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043F7BED"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81E142"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Education level often correlates with income and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1BAB504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632BF0F"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Check claim frequency by education group.</w:t>
      </w:r>
    </w:p>
    <w:p w14:paraId="33D85613"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Insights for marketing campaigns and segmentation.</w:t>
      </w:r>
    </w:p>
    <w:p w14:paraId="0D6AF684" w14:textId="4696611E" w:rsidR="00E947F9" w:rsidRPr="00E947F9" w:rsidRDefault="00E947F9" w:rsidP="00E947F9">
      <w:pPr>
        <w:spacing w:after="0" w:line="360" w:lineRule="auto"/>
        <w:jc w:val="both"/>
        <w:rPr>
          <w:rFonts w:ascii="Times New Roman" w:hAnsi="Times New Roman" w:cs="Times New Roman"/>
          <w:sz w:val="24"/>
          <w:szCs w:val="24"/>
        </w:rPr>
      </w:pPr>
    </w:p>
    <w:p w14:paraId="5B7FD0B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10. Gender</w:t>
      </w:r>
    </w:p>
    <w:p w14:paraId="5177B1A2"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Gender of the policyholder (Male, Female, Other).</w:t>
      </w:r>
    </w:p>
    <w:p w14:paraId="77E67EEC"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60A0133A"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80E7CB2"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Gender differences in claim patterns may exist.</w:t>
      </w:r>
    </w:p>
    <w:p w14:paraId="5ED2B6B1"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4B7923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analysis by gender group.</w:t>
      </w:r>
    </w:p>
    <w:p w14:paraId="21715A1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Demographic breakdowns in dashboards.</w:t>
      </w:r>
    </w:p>
    <w:p w14:paraId="149A05D7" w14:textId="12188FBF" w:rsidR="00E947F9" w:rsidRPr="00E947F9" w:rsidRDefault="00E947F9" w:rsidP="00E947F9">
      <w:pPr>
        <w:spacing w:after="0" w:line="360" w:lineRule="auto"/>
        <w:jc w:val="both"/>
        <w:rPr>
          <w:rFonts w:ascii="Times New Roman" w:hAnsi="Times New Roman" w:cs="Times New Roman"/>
          <w:sz w:val="24"/>
          <w:szCs w:val="24"/>
        </w:rPr>
      </w:pPr>
    </w:p>
    <w:p w14:paraId="73DEC8A4"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11. Marital Status</w:t>
      </w:r>
    </w:p>
    <w:p w14:paraId="44C43CFB"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Marital status of the policyholder (Single, Married, Divorced, etc.).</w:t>
      </w:r>
    </w:p>
    <w:p w14:paraId="3764375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AABA307"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59A13A4"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lastRenderedPageBreak/>
        <w:t>Married people are often seen as more stable, potentially lower risk.</w:t>
      </w:r>
    </w:p>
    <w:p w14:paraId="42F05B1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9E33309"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between singles vs married customers.</w:t>
      </w:r>
    </w:p>
    <w:p w14:paraId="3C29A428"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Factor in pricing and risk adjustment.</w:t>
      </w:r>
    </w:p>
    <w:p w14:paraId="248B5BBD" w14:textId="534F4FAD" w:rsidR="00E947F9" w:rsidRPr="00E947F9" w:rsidRDefault="00E947F9" w:rsidP="00E947F9">
      <w:pPr>
        <w:spacing w:after="0" w:line="360" w:lineRule="auto"/>
        <w:jc w:val="both"/>
        <w:rPr>
          <w:rFonts w:ascii="Times New Roman" w:hAnsi="Times New Roman" w:cs="Times New Roman"/>
          <w:sz w:val="24"/>
          <w:szCs w:val="24"/>
        </w:rPr>
      </w:pPr>
    </w:p>
    <w:p w14:paraId="114B26E6"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12. Parent</w:t>
      </w:r>
    </w:p>
    <w:p w14:paraId="0B1FF2BD"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Whether the policyholder has children (Yes/No).</w:t>
      </w:r>
    </w:p>
    <w:p w14:paraId="63B00471"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Boolean / Categorical.</w:t>
      </w:r>
    </w:p>
    <w:p w14:paraId="72A73D56"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4E907BA"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Parents may drive differently compared to non-parents.</w:t>
      </w:r>
    </w:p>
    <w:p w14:paraId="4ADA2B3C"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2EB96D45"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claims and policies by parent status.</w:t>
      </w:r>
    </w:p>
    <w:p w14:paraId="1AA1CD0E"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Combine with </w:t>
      </w:r>
      <w:r w:rsidRPr="00E947F9">
        <w:rPr>
          <w:rFonts w:ascii="Times New Roman" w:hAnsi="Times New Roman" w:cs="Times New Roman"/>
          <w:b/>
          <w:bCs/>
          <w:sz w:val="24"/>
          <w:szCs w:val="24"/>
        </w:rPr>
        <w:t>Kids Driving</w:t>
      </w:r>
      <w:r w:rsidRPr="00E947F9">
        <w:rPr>
          <w:rFonts w:ascii="Times New Roman" w:hAnsi="Times New Roman" w:cs="Times New Roman"/>
          <w:sz w:val="24"/>
          <w:szCs w:val="24"/>
        </w:rPr>
        <w:t xml:space="preserve"> for more detailed household analysis.</w:t>
      </w:r>
    </w:p>
    <w:p w14:paraId="4C445585" w14:textId="24B09004" w:rsidR="00E947F9" w:rsidRPr="00E947F9" w:rsidRDefault="00E947F9" w:rsidP="00E947F9">
      <w:pPr>
        <w:spacing w:after="0" w:line="360" w:lineRule="auto"/>
        <w:jc w:val="both"/>
        <w:rPr>
          <w:rFonts w:ascii="Times New Roman" w:hAnsi="Times New Roman" w:cs="Times New Roman"/>
          <w:sz w:val="24"/>
          <w:szCs w:val="24"/>
        </w:rPr>
      </w:pPr>
    </w:p>
    <w:p w14:paraId="7491BB6F"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13. Claim Amt</w:t>
      </w:r>
    </w:p>
    <w:p w14:paraId="15D095A7"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Total monetary value of claims filed by the policyholder.</w:t>
      </w:r>
    </w:p>
    <w:p w14:paraId="7E09D2C0"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(currency).</w:t>
      </w:r>
    </w:p>
    <w:p w14:paraId="59E6FA99"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D289A53"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 critical measure of insurance losses.</w:t>
      </w:r>
    </w:p>
    <w:p w14:paraId="69B5145A"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2DAB55B"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w:t>
      </w:r>
      <w:r w:rsidRPr="00E947F9">
        <w:rPr>
          <w:rFonts w:ascii="Times New Roman" w:hAnsi="Times New Roman" w:cs="Times New Roman"/>
          <w:b/>
          <w:bCs/>
          <w:sz w:val="24"/>
          <w:szCs w:val="24"/>
        </w:rPr>
        <w:t>total losses, average claim amount, and claim ratios</w:t>
      </w:r>
      <w:r w:rsidRPr="00E947F9">
        <w:rPr>
          <w:rFonts w:ascii="Times New Roman" w:hAnsi="Times New Roman" w:cs="Times New Roman"/>
          <w:sz w:val="24"/>
          <w:szCs w:val="24"/>
        </w:rPr>
        <w:t>.</w:t>
      </w:r>
    </w:p>
    <w:p w14:paraId="7B6C5D24"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high-cost claims for fraud detection.</w:t>
      </w:r>
    </w:p>
    <w:p w14:paraId="073E1C4D" w14:textId="2491C012" w:rsidR="00E947F9" w:rsidRPr="00E947F9" w:rsidRDefault="00E947F9" w:rsidP="00E947F9">
      <w:pPr>
        <w:spacing w:after="0" w:line="360" w:lineRule="auto"/>
        <w:jc w:val="both"/>
        <w:rPr>
          <w:rFonts w:ascii="Times New Roman" w:hAnsi="Times New Roman" w:cs="Times New Roman"/>
          <w:sz w:val="24"/>
          <w:szCs w:val="24"/>
        </w:rPr>
      </w:pPr>
    </w:p>
    <w:p w14:paraId="74D070F0"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14. Claim Freq</w:t>
      </w:r>
    </w:p>
    <w:p w14:paraId="7B89A583"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number of claims filed by the policyholder.</w:t>
      </w:r>
    </w:p>
    <w:p w14:paraId="6A9F9C6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83F36F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C2B7F22"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Frequency of claims indicates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2BB93569"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B42D2EF"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KPI for customer risk assessment.</w:t>
      </w:r>
    </w:p>
    <w:p w14:paraId="4DA31A34"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Combined with Claim Amt → identifies whether risk is due to high frequency or high severity.</w:t>
      </w:r>
    </w:p>
    <w:p w14:paraId="05310EA4" w14:textId="06824B7C" w:rsidR="00E947F9" w:rsidRPr="00E947F9" w:rsidRDefault="00E947F9" w:rsidP="00E947F9">
      <w:pPr>
        <w:spacing w:after="0" w:line="360" w:lineRule="auto"/>
        <w:jc w:val="both"/>
        <w:rPr>
          <w:rFonts w:ascii="Times New Roman" w:hAnsi="Times New Roman" w:cs="Times New Roman"/>
          <w:sz w:val="24"/>
          <w:szCs w:val="24"/>
        </w:rPr>
      </w:pPr>
    </w:p>
    <w:p w14:paraId="460B639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15. Household Income</w:t>
      </w:r>
    </w:p>
    <w:p w14:paraId="3DF7C882"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Definition:</w:t>
      </w:r>
      <w:r w:rsidRPr="00E947F9">
        <w:rPr>
          <w:rFonts w:ascii="Times New Roman" w:hAnsi="Times New Roman" w:cs="Times New Roman"/>
          <w:sz w:val="24"/>
          <w:szCs w:val="24"/>
        </w:rPr>
        <w:t xml:space="preserve"> Annual income of the policyholder’s household.</w:t>
      </w:r>
    </w:p>
    <w:p w14:paraId="65D3EF5A"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0E923E85"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B751A3C"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Income level affects affordability of premiums and vehicle type.</w:t>
      </w:r>
    </w:p>
    <w:p w14:paraId="767C1FD3"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2DDCC0E"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income bands.</w:t>
      </w:r>
    </w:p>
    <w:p w14:paraId="61E9E5DD"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 patterns across income groups.</w:t>
      </w:r>
    </w:p>
    <w:p w14:paraId="652432A3"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Target marketing/policy offers (e.g., premium insurance for high-income households).</w:t>
      </w:r>
    </w:p>
    <w:p w14:paraId="38B791E0" w14:textId="4F967876" w:rsidR="00E947F9" w:rsidRPr="00E947F9" w:rsidRDefault="00E947F9" w:rsidP="00E947F9">
      <w:pPr>
        <w:spacing w:after="0" w:line="360" w:lineRule="auto"/>
        <w:jc w:val="both"/>
        <w:rPr>
          <w:rFonts w:ascii="Times New Roman" w:hAnsi="Times New Roman" w:cs="Times New Roman"/>
          <w:sz w:val="24"/>
          <w:szCs w:val="24"/>
        </w:rPr>
      </w:pPr>
    </w:p>
    <w:p w14:paraId="7563FF1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16. Kids Driving</w:t>
      </w:r>
    </w:p>
    <w:p w14:paraId="183ED2FB"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Number of kids in the household who are licensed drivers.</w:t>
      </w:r>
    </w:p>
    <w:p w14:paraId="3D3099C3"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C87989F"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8F6C9E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Values (1, 2, 3…) indicate number of kids driving.</w:t>
      </w:r>
    </w:p>
    <w:p w14:paraId="3EAB8678"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More kids driving generally = higher accident probability.</w:t>
      </w:r>
    </w:p>
    <w:p w14:paraId="5552793E"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8021C9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number of kids driving.</w:t>
      </w:r>
    </w:p>
    <w:p w14:paraId="640F70E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Group into categories (e.g., None, 1 Kid, 2 Kids, 3+ Kids).</w:t>
      </w:r>
    </w:p>
    <w:p w14:paraId="3F6AE93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Helps insurers estimate family household risk.</w:t>
      </w:r>
    </w:p>
    <w:p w14:paraId="5BD132B8" w14:textId="77777777" w:rsidR="00B90E3A" w:rsidRPr="00E947F9" w:rsidRDefault="00B90E3A" w:rsidP="00E947F9">
      <w:pPr>
        <w:spacing w:after="0" w:line="360" w:lineRule="auto"/>
        <w:jc w:val="both"/>
        <w:rPr>
          <w:rFonts w:ascii="Times New Roman" w:hAnsi="Times New Roman" w:cs="Times New Roman"/>
          <w:sz w:val="24"/>
          <w:szCs w:val="24"/>
        </w:rPr>
      </w:pPr>
    </w:p>
    <w:sectPr w:rsidR="00B90E3A" w:rsidRPr="00E947F9" w:rsidSect="0010075B">
      <w:headerReference w:type="even" r:id="rId7"/>
      <w:headerReference w:type="default" r:id="rId8"/>
      <w:headerReference w:type="first" r:id="rId9"/>
      <w:pgSz w:w="11906" w:h="16838"/>
      <w:pgMar w:top="1440" w:right="1440" w:bottom="1440" w:left="144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77288" w14:textId="77777777" w:rsidR="00713615" w:rsidRDefault="00713615" w:rsidP="0010075B">
      <w:pPr>
        <w:spacing w:after="0" w:line="240" w:lineRule="auto"/>
      </w:pPr>
      <w:r>
        <w:separator/>
      </w:r>
    </w:p>
  </w:endnote>
  <w:endnote w:type="continuationSeparator" w:id="0">
    <w:p w14:paraId="57911CBD" w14:textId="77777777" w:rsidR="00713615" w:rsidRDefault="00713615" w:rsidP="0010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51BFA" w14:textId="77777777" w:rsidR="00713615" w:rsidRDefault="00713615" w:rsidP="0010075B">
      <w:pPr>
        <w:spacing w:after="0" w:line="240" w:lineRule="auto"/>
      </w:pPr>
      <w:r>
        <w:separator/>
      </w:r>
    </w:p>
  </w:footnote>
  <w:footnote w:type="continuationSeparator" w:id="0">
    <w:p w14:paraId="2EEFD734" w14:textId="77777777" w:rsidR="00713615" w:rsidRDefault="00713615" w:rsidP="0010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CEAB" w14:textId="6474A2D2" w:rsidR="0010075B" w:rsidRDefault="001007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B0D7" w14:textId="69975111" w:rsidR="0010075B" w:rsidRPr="00B4530E" w:rsidRDefault="0010075B">
    <w:pPr>
      <w:pStyle w:val="Header"/>
      <w:rPr>
        <w:b/>
        <w:bCs/>
        <w:i/>
        <w:iCs/>
        <w:color w:val="2F5496" w:themeColor="accent1" w:themeShade="BF"/>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C044" w14:textId="0F0F9931" w:rsidR="0010075B" w:rsidRDefault="001007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3D"/>
    <w:multiLevelType w:val="multilevel"/>
    <w:tmpl w:val="74CC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623"/>
    <w:multiLevelType w:val="multilevel"/>
    <w:tmpl w:val="BEE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D"/>
    <w:multiLevelType w:val="multilevel"/>
    <w:tmpl w:val="70C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5C99"/>
    <w:multiLevelType w:val="multilevel"/>
    <w:tmpl w:val="490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CC9"/>
    <w:multiLevelType w:val="multilevel"/>
    <w:tmpl w:val="56BC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0A3"/>
    <w:multiLevelType w:val="multilevel"/>
    <w:tmpl w:val="2E1A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E0C"/>
    <w:multiLevelType w:val="multilevel"/>
    <w:tmpl w:val="6B28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391"/>
    <w:multiLevelType w:val="multilevel"/>
    <w:tmpl w:val="8F48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02FD"/>
    <w:multiLevelType w:val="multilevel"/>
    <w:tmpl w:val="C4CA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4322"/>
    <w:multiLevelType w:val="multilevel"/>
    <w:tmpl w:val="715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E371E"/>
    <w:multiLevelType w:val="multilevel"/>
    <w:tmpl w:val="557C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3ED"/>
    <w:multiLevelType w:val="multilevel"/>
    <w:tmpl w:val="51E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5307B"/>
    <w:multiLevelType w:val="multilevel"/>
    <w:tmpl w:val="383A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69B4"/>
    <w:multiLevelType w:val="multilevel"/>
    <w:tmpl w:val="C690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836AF"/>
    <w:multiLevelType w:val="multilevel"/>
    <w:tmpl w:val="3C9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384"/>
    <w:multiLevelType w:val="multilevel"/>
    <w:tmpl w:val="53F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5138">
    <w:abstractNumId w:val="11"/>
  </w:num>
  <w:num w:numId="2" w16cid:durableId="363755803">
    <w:abstractNumId w:val="2"/>
  </w:num>
  <w:num w:numId="3" w16cid:durableId="1483039117">
    <w:abstractNumId w:val="15"/>
  </w:num>
  <w:num w:numId="4" w16cid:durableId="1400056038">
    <w:abstractNumId w:val="7"/>
  </w:num>
  <w:num w:numId="5" w16cid:durableId="934676942">
    <w:abstractNumId w:val="10"/>
  </w:num>
  <w:num w:numId="6" w16cid:durableId="1988394103">
    <w:abstractNumId w:val="12"/>
  </w:num>
  <w:num w:numId="7" w16cid:durableId="1744984183">
    <w:abstractNumId w:val="8"/>
  </w:num>
  <w:num w:numId="8" w16cid:durableId="1246458034">
    <w:abstractNumId w:val="3"/>
  </w:num>
  <w:num w:numId="9" w16cid:durableId="1359552324">
    <w:abstractNumId w:val="4"/>
  </w:num>
  <w:num w:numId="10" w16cid:durableId="631205980">
    <w:abstractNumId w:val="6"/>
  </w:num>
  <w:num w:numId="11" w16cid:durableId="1984308343">
    <w:abstractNumId w:val="13"/>
  </w:num>
  <w:num w:numId="12" w16cid:durableId="1164012840">
    <w:abstractNumId w:val="1"/>
  </w:num>
  <w:num w:numId="13" w16cid:durableId="502741637">
    <w:abstractNumId w:val="14"/>
  </w:num>
  <w:num w:numId="14" w16cid:durableId="1310478431">
    <w:abstractNumId w:val="9"/>
  </w:num>
  <w:num w:numId="15" w16cid:durableId="2085564759">
    <w:abstractNumId w:val="0"/>
  </w:num>
  <w:num w:numId="16" w16cid:durableId="63879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3B"/>
    <w:rsid w:val="000F7510"/>
    <w:rsid w:val="0010075B"/>
    <w:rsid w:val="001658B9"/>
    <w:rsid w:val="00245682"/>
    <w:rsid w:val="002766D8"/>
    <w:rsid w:val="002D42DB"/>
    <w:rsid w:val="004B4543"/>
    <w:rsid w:val="006D64F9"/>
    <w:rsid w:val="00703D2D"/>
    <w:rsid w:val="00713615"/>
    <w:rsid w:val="007C2A1D"/>
    <w:rsid w:val="007F4544"/>
    <w:rsid w:val="0093533B"/>
    <w:rsid w:val="00941A68"/>
    <w:rsid w:val="009902FF"/>
    <w:rsid w:val="00B4530E"/>
    <w:rsid w:val="00B90E3A"/>
    <w:rsid w:val="00CD3295"/>
    <w:rsid w:val="00DE29BA"/>
    <w:rsid w:val="00E947F9"/>
    <w:rsid w:val="00F252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F4EBF"/>
  <w15:chartTrackingRefBased/>
  <w15:docId w15:val="{A785EC9D-D1A0-4439-8CB3-0993F607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3B"/>
    <w:rPr>
      <w:rFonts w:eastAsiaTheme="majorEastAsia" w:cstheme="majorBidi"/>
      <w:color w:val="272727" w:themeColor="text1" w:themeTint="D8"/>
    </w:rPr>
  </w:style>
  <w:style w:type="paragraph" w:styleId="Title">
    <w:name w:val="Title"/>
    <w:basedOn w:val="Normal"/>
    <w:next w:val="Normal"/>
    <w:link w:val="TitleChar"/>
    <w:uiPriority w:val="10"/>
    <w:qFormat/>
    <w:rsid w:val="0093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3B"/>
    <w:pPr>
      <w:spacing w:before="160"/>
      <w:jc w:val="center"/>
    </w:pPr>
    <w:rPr>
      <w:i/>
      <w:iCs/>
      <w:color w:val="404040" w:themeColor="text1" w:themeTint="BF"/>
    </w:rPr>
  </w:style>
  <w:style w:type="character" w:customStyle="1" w:styleId="QuoteChar">
    <w:name w:val="Quote Char"/>
    <w:basedOn w:val="DefaultParagraphFont"/>
    <w:link w:val="Quote"/>
    <w:uiPriority w:val="29"/>
    <w:rsid w:val="0093533B"/>
    <w:rPr>
      <w:i/>
      <w:iCs/>
      <w:color w:val="404040" w:themeColor="text1" w:themeTint="BF"/>
    </w:rPr>
  </w:style>
  <w:style w:type="paragraph" w:styleId="ListParagraph">
    <w:name w:val="List Paragraph"/>
    <w:basedOn w:val="Normal"/>
    <w:uiPriority w:val="34"/>
    <w:qFormat/>
    <w:rsid w:val="0093533B"/>
    <w:pPr>
      <w:ind w:left="720"/>
      <w:contextualSpacing/>
    </w:pPr>
  </w:style>
  <w:style w:type="character" w:styleId="IntenseEmphasis">
    <w:name w:val="Intense Emphasis"/>
    <w:basedOn w:val="DefaultParagraphFont"/>
    <w:uiPriority w:val="21"/>
    <w:qFormat/>
    <w:rsid w:val="0093533B"/>
    <w:rPr>
      <w:i/>
      <w:iCs/>
      <w:color w:val="2F5496" w:themeColor="accent1" w:themeShade="BF"/>
    </w:rPr>
  </w:style>
  <w:style w:type="paragraph" w:styleId="IntenseQuote">
    <w:name w:val="Intense Quote"/>
    <w:basedOn w:val="Normal"/>
    <w:next w:val="Normal"/>
    <w:link w:val="IntenseQuoteChar"/>
    <w:uiPriority w:val="30"/>
    <w:qFormat/>
    <w:rsid w:val="00935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3B"/>
    <w:rPr>
      <w:i/>
      <w:iCs/>
      <w:color w:val="2F5496" w:themeColor="accent1" w:themeShade="BF"/>
    </w:rPr>
  </w:style>
  <w:style w:type="character" w:styleId="IntenseReference">
    <w:name w:val="Intense Reference"/>
    <w:basedOn w:val="DefaultParagraphFont"/>
    <w:uiPriority w:val="32"/>
    <w:qFormat/>
    <w:rsid w:val="0093533B"/>
    <w:rPr>
      <w:b/>
      <w:bCs/>
      <w:smallCaps/>
      <w:color w:val="2F5496" w:themeColor="accent1" w:themeShade="BF"/>
      <w:spacing w:val="5"/>
    </w:rPr>
  </w:style>
  <w:style w:type="paragraph" w:styleId="Header">
    <w:name w:val="header"/>
    <w:basedOn w:val="Normal"/>
    <w:link w:val="HeaderChar"/>
    <w:uiPriority w:val="99"/>
    <w:unhideWhenUsed/>
    <w:rsid w:val="00100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75B"/>
  </w:style>
  <w:style w:type="paragraph" w:styleId="Footer">
    <w:name w:val="footer"/>
    <w:basedOn w:val="Normal"/>
    <w:link w:val="FooterChar"/>
    <w:uiPriority w:val="99"/>
    <w:unhideWhenUsed/>
    <w:rsid w:val="00100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75B"/>
  </w:style>
  <w:style w:type="character" w:styleId="Hyperlink">
    <w:name w:val="Hyperlink"/>
    <w:basedOn w:val="DefaultParagraphFont"/>
    <w:uiPriority w:val="99"/>
    <w:unhideWhenUsed/>
    <w:rsid w:val="00B453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Jay Vishwakarma</cp:lastModifiedBy>
  <cp:revision>9</cp:revision>
  <dcterms:created xsi:type="dcterms:W3CDTF">2025-08-21T12:26:00Z</dcterms:created>
  <dcterms:modified xsi:type="dcterms:W3CDTF">2025-11-08T03:20:00Z</dcterms:modified>
</cp:coreProperties>
</file>