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left"/>
      </w:pPr>
      <w:r>
        <w:rPr>
          <w:rFonts w:ascii="Calibri" w:cs="Calibri" w:eastAsia="Calibri" w:hAnsi="Calibri"/>
          <w:b/>
          <w:bCs/>
          <w:color w:val="8A6A2E"/>
          <w:spacing w:val="60"/>
          <w:sz w:val="24"/>
          <w:szCs w:val="24"/>
        </w:rPr>
        <w:t xml:space="preserve">CINECANON</w:t>
      </w:r>
    </w:p>
    <w:p>
      <w:pPr>
        <w:spacing w:after="360"/>
      </w:pPr>
      <w:r>
        <w:rPr>
          <w:rFonts w:ascii="Calibri" w:cs="Calibri" w:eastAsia="Calibri" w:hAnsi="Calibri"/>
          <w:b/>
          <w:bCs/>
          <w:color w:val="111111"/>
          <w:sz w:val="52"/>
          <w:szCs w:val="52"/>
        </w:rPr>
        <w:t xml:space="preserve">A Monetization Strategy for the Cinematography Reference Engine</w:t>
      </w:r>
    </w:p>
    <w:p>
      <w:pPr>
        <w:pBdr>
          <w:bottom w:val="single" w:color="8A6A2E" w:sz="12" w:space="8"/>
        </w:pBdr>
        <w:spacing w:after="240"/>
      </w:pPr>
      <w:r>
        <w:t xml:space="preserve"/>
      </w:r>
    </w:p>
    <w:p>
      <w:pPr>
        <w:spacing w:after="60" w:before="0"/>
      </w:pPr>
      <w:r>
        <w:rPr>
          <w:rFonts w:ascii="Calibri" w:cs="Calibri" w:eastAsia="Calibri" w:hAnsi="Calibri"/>
          <w:b/>
          <w:bCs/>
          <w:color w:val="333333"/>
          <w:sz w:val="22"/>
          <w:szCs w:val="22"/>
        </w:rPr>
        <w:t xml:space="preserve">Prepared for: </w:t>
      </w:r>
      <w:r>
        <w:rPr>
          <w:rFonts w:ascii="Calibri" w:cs="Calibri" w:eastAsia="Calibri" w:hAnsi="Calibri"/>
          <w:color w:val="333333"/>
          <w:sz w:val="22"/>
          <w:szCs w:val="22"/>
        </w:rPr>
        <w:t xml:space="preserve">Jay (Founder)</w:t>
      </w:r>
    </w:p>
    <w:p>
      <w:pPr>
        <w:spacing w:after="60" w:before="0"/>
      </w:pPr>
      <w:r>
        <w:rPr>
          <w:rFonts w:ascii="Calibri" w:cs="Calibri" w:eastAsia="Calibri" w:hAnsi="Calibri"/>
          <w:b/>
          <w:bCs/>
          <w:color w:val="333333"/>
          <w:sz w:val="22"/>
          <w:szCs w:val="22"/>
        </w:rPr>
        <w:t xml:space="preserve">Date: </w:t>
      </w:r>
      <w:r>
        <w:rPr>
          <w:rFonts w:ascii="Calibri" w:cs="Calibri" w:eastAsia="Calibri" w:hAnsi="Calibri"/>
          <w:color w:val="333333"/>
          <w:sz w:val="22"/>
          <w:szCs w:val="22"/>
        </w:rPr>
        <w:t xml:space="preserve">May 17, 2026</w:t>
      </w:r>
    </w:p>
    <w:p>
      <w:pPr>
        <w:spacing w:after="360" w:before="0"/>
      </w:pPr>
      <w:r>
        <w:rPr>
          <w:rFonts w:ascii="Calibri" w:cs="Calibri" w:eastAsia="Calibri" w:hAnsi="Calibri"/>
          <w:b/>
          <w:bCs/>
          <w:color w:val="333333"/>
          <w:sz w:val="22"/>
          <w:szCs w:val="22"/>
        </w:rPr>
        <w:t xml:space="preserve">Scope: </w:t>
      </w:r>
      <w:r>
        <w:rPr>
          <w:rFonts w:ascii="Calibri" w:cs="Calibri" w:eastAsia="Calibri" w:hAnsi="Calibri"/>
          <w:color w:val="333333"/>
          <w:sz w:val="22"/>
          <w:szCs w:val="22"/>
        </w:rPr>
        <w:t xml:space="preserve">Five-pillar revenue strategy, phased rollout, and 36-month financial model — designed to monetize without eroding editorial trust.</w:t>
      </w:r>
    </w:p>
    <w:p>
      <w:pPr>
        <w:pBdr>
          <w:left w:val="single" w:color="8A6A2E" w:sz="18" w:space="12"/>
        </w:pBdr>
        <w:spacing w:after="200" w:before="200"/>
        <w:ind w:left="360" w:right="360"/>
      </w:pPr>
      <w:r>
        <w:rPr>
          <w:rFonts w:ascii="Calibri" w:cs="Calibri" w:eastAsia="Calibri" w:hAnsi="Calibri"/>
          <w:i/>
          <w:iCs/>
          <w:color w:val="333333"/>
          <w:sz w:val="24"/>
          <w:szCs w:val="24"/>
        </w:rPr>
        <w:t xml:space="preserve">"Every important technical fact is a claim with provenance." — CineCanon, Guiding Principles.
The monetization strategy must honor that promise. Trust is the asset; revenue is what trust earns.</w:t>
      </w:r>
    </w:p>
    <w:p>
      <w:r>
        <w:br w:type="page"/>
      </w:r>
    </w:p>
    <w:p>
      <w:pPr>
        <w:pStyle w:val="Heading1"/>
        <w:pBdr>
          <w:bottom w:val="single" w:color="8A6A2E" w:sz="6" w:space="6"/>
        </w:pBdr>
        <w:spacing w:after="180" w:before="360"/>
      </w:pPr>
      <w:r>
        <w:rPr>
          <w:rFonts w:ascii="Calibri" w:cs="Calibri" w:eastAsia="Calibri" w:hAnsi="Calibri"/>
          <w:b/>
          <w:bCs/>
          <w:color w:val="111111"/>
          <w:sz w:val="36"/>
          <w:szCs w:val="36"/>
        </w:rPr>
        <w:t xml:space="preserve">1. Executive Summary</w:t>
      </w:r>
    </w:p>
    <w:p>
      <w:pPr>
        <w:spacing w:after="160" w:before="0"/>
      </w:pPr>
      <w:r>
        <w:rPr>
          <w:rFonts w:ascii="Calibri" w:cs="Calibri" w:eastAsia="Calibri" w:hAnsi="Calibri"/>
          <w:b w:val="false"/>
          <w:bCs w:val="false"/>
          <w:i w:val="false"/>
          <w:iCs w:val="false"/>
          <w:sz w:val="22"/>
          <w:szCs w:val="22"/>
        </w:rPr>
        <w:t xml:space="preserve">CineCanon is not a content site. It is a cited, source-backed technical authority for working film professionals — DPs, gaffers, ACs, colorists, VFX supervisors — and, increasingly, the AI search engines they consult. That dual-audience positioning (human pros + LLM citations) creates an unusually defensible monetization surface, but only if the business model never compromises the editorial firewall.</w:t>
      </w:r>
    </w:p>
    <w:p>
      <w:pPr>
        <w:spacing w:after="160" w:before="0"/>
      </w:pPr>
      <w:r>
        <w:rPr>
          <w:rFonts w:ascii="Calibri" w:cs="Calibri" w:eastAsia="Calibri" w:hAnsi="Calibri"/>
          <w:b w:val="false"/>
          <w:bCs w:val="false"/>
          <w:i w:val="false"/>
          <w:iCs w:val="false"/>
          <w:sz w:val="22"/>
          <w:szCs w:val="22"/>
        </w:rPr>
        <w:t xml:space="preserve">This plan recommends five concurrent revenue pillars, sequenced over 36 months, each chosen because it monetizes without polluting the citation graph or cheapening the visual identity. No display ads. No paid claims. No sponsored search rankings. Instead: contextual affiliates on gear pages, a working-professional Pro subscription, transparently-disclosed sponsorships of tools and editorial series, a commercial API tier above the free CC-BY tier, and institutional licensing for film schools and verified studio profiles.</w:t>
      </w:r>
    </w:p>
    <w:p>
      <w:pPr>
        <w:spacing w:after="200" w:before="0"/>
      </w:pPr>
      <w:r>
        <w:rPr>
          <w:rFonts w:ascii="Calibri" w:cs="Calibri" w:eastAsia="Calibri" w:hAnsi="Calibri"/>
          <w:b w:val="false"/>
          <w:bCs w:val="false"/>
          <w:i w:val="false"/>
          <w:iCs w:val="false"/>
          <w:sz w:val="22"/>
          <w:szCs w:val="22"/>
        </w:rPr>
        <w:t xml:space="preserve">Conservative projection: $90K–$180K ARR exiting Year 1, $850K–$1.2M ARR exiting Year 2, $2.4M–$3.2M ARR exiting Year 3 — with gross margin above 80% by Month 18 and the founding capital requirement under $250K of incremental engineering and editorial spend.</w:t>
      </w:r>
    </w:p>
    <w:p>
      <w:pPr>
        <w:pStyle w:val="Heading2"/>
        <w:spacing w:after="120" w:before="280"/>
      </w:pPr>
      <w:r>
        <w:rPr>
          <w:rFonts w:ascii="Calibri" w:cs="Calibri" w:eastAsia="Calibri" w:hAnsi="Calibri"/>
          <w:b/>
          <w:bCs/>
          <w:color w:val="111111"/>
          <w:sz w:val="28"/>
          <w:szCs w:val="28"/>
        </w:rPr>
        <w:t xml:space="preserve">The five pillars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Pillar</w:t>
            </w:r>
          </w:p>
        </w:tc>
        <w:tc>
          <w:tcPr>
            <w:tcW w:type="dxa" w:w="42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Mechanism</w:t>
            </w:r>
          </w:p>
        </w:tc>
        <w:tc>
          <w:tcPr>
            <w:tcW w:type="dxa" w:w="216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Y3 ARR target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 Contextual gear affiliates</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B&amp;H, Adorama, MPB, KitSplit referral links on gear/loadout pages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$220K</w:t>
            </w:r>
          </w:p>
        </w:tc>
      </w:tr>
      <w:tr>
        <w:tc>
          <w:tcPr>
            <w:tcW w:type="dxa" w:w="30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2. CineCanon Pro subscription</w:t>
            </w:r>
          </w:p>
        </w:tc>
        <w:tc>
          <w:tcPr>
            <w:tcW w:type="dxa" w:w="4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$12/mo or $99/yr — gates exports, projects, lookbook, citation tools</w:t>
            </w:r>
          </w:p>
        </w:tc>
        <w:tc>
          <w:tcPr>
            <w:tcW w:type="dxa" w:w="2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$720K</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3. Sponsored tools &amp; series</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Aputure, Filmlight, Blackmagic, ARRI Rental — labeled, editorial-firewalled</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$600K</w:t>
            </w:r>
          </w:p>
        </w:tc>
      </w:tr>
      <w:tr>
        <w:tc>
          <w:tcPr>
            <w:tcW w:type="dxa" w:w="30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4. Commercial API &amp; data licensing</w:t>
            </w:r>
          </w:p>
        </w:tc>
        <w:tc>
          <w:tcPr>
            <w:tcW w:type="dxa" w:w="4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B2B tier above CC-BY 4.0 — Studiobinder, Frame.io, trade pubs</w:t>
            </w:r>
          </w:p>
        </w:tc>
        <w:tc>
          <w:tcPr>
            <w:tcW w:type="dxa" w:w="2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$480K</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5. Institutional + verified profiles</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Film schools (USC, AFI, NYU); paid verified VFX house &amp; rental house pages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$700K</w:t>
            </w:r>
          </w:p>
        </w:tc>
      </w:tr>
    </w:tbl>
    <w:p>
      <w:r>
        <w:rPr>
          <w:rFonts w:ascii="Calibri" w:cs="Calibri" w:eastAsia="Calibri" w:hAnsi="Calibri"/>
          <w:sz w:val="18"/>
          <w:szCs w:val="18"/>
        </w:rPr>
        <w:t xml:space="preserve"/>
      </w:r>
    </w:p>
    <w:p>
      <w:pPr>
        <w:spacing w:after="200" w:before="0"/>
      </w:pPr>
      <w:r>
        <w:rPr>
          <w:rFonts w:ascii="Calibri" w:cs="Calibri" w:eastAsia="Calibri" w:hAnsi="Calibri"/>
          <w:b w:val="false"/>
          <w:bCs w:val="false"/>
          <w:i/>
          <w:iCs/>
          <w:color w:val="666666"/>
          <w:sz w:val="22"/>
          <w:szCs w:val="22"/>
        </w:rPr>
        <w:t xml:space="preserve">Total Year 3 ARR target: $2.4M–$3.2M depending on traffic ramp, sponsor pipeline, and Pro conversion rate. Detailed model in §6.</w:t>
      </w:r>
    </w:p>
    <w:p>
      <w:r>
        <w:br w:type="page"/>
      </w:r>
    </w:p>
    <w:p>
      <w:pPr>
        <w:pStyle w:val="Heading1"/>
        <w:pBdr>
          <w:bottom w:val="single" w:color="8A6A2E" w:sz="6" w:space="6"/>
        </w:pBdr>
        <w:spacing w:after="180" w:before="360"/>
      </w:pPr>
      <w:r>
        <w:rPr>
          <w:rFonts w:ascii="Calibri" w:cs="Calibri" w:eastAsia="Calibri" w:hAnsi="Calibri"/>
          <w:b/>
          <w:bCs/>
          <w:color w:val="111111"/>
          <w:sz w:val="36"/>
          <w:szCs w:val="36"/>
        </w:rPr>
        <w:t xml:space="preserve">2. Audience Analysis</w:t>
      </w:r>
    </w:p>
    <w:p>
      <w:pPr>
        <w:spacing w:after="160" w:before="0"/>
      </w:pPr>
      <w:r>
        <w:rPr>
          <w:rFonts w:ascii="Calibri" w:cs="Calibri" w:eastAsia="Calibri" w:hAnsi="Calibri"/>
          <w:b w:val="false"/>
          <w:bCs w:val="false"/>
          <w:i w:val="false"/>
          <w:iCs w:val="false"/>
          <w:sz w:val="22"/>
          <w:szCs w:val="22"/>
        </w:rPr>
        <w:t xml:space="preserve">CineCanon already routes by role: /for-dps, /for-colorists, /for-coordinators, /for-gaffers. That role-targeting is the single most important monetization asset on the site, because it converts undifferentiated "filmmaking traffic" into known buyer personas with measurable purchase intent.</w:t>
      </w:r>
    </w:p>
    <w:p>
      <w:pPr>
        <w:pStyle w:val="Heading2"/>
        <w:spacing w:after="120" w:before="280"/>
      </w:pPr>
      <w:r>
        <w:rPr>
          <w:rFonts w:ascii="Calibri" w:cs="Calibri" w:eastAsia="Calibri" w:hAnsi="Calibri"/>
          <w:b/>
          <w:bCs/>
          <w:color w:val="111111"/>
          <w:sz w:val="28"/>
          <w:szCs w:val="28"/>
        </w:rPr>
        <w:t xml:space="preserve">The four addressable segments</w:t>
      </w:r>
    </w:p>
    <w:p>
      <w:pPr>
        <w:pStyle w:val="Heading3"/>
        <w:spacing w:after="80" w:before="200"/>
      </w:pPr>
      <w:r>
        <w:rPr>
          <w:rFonts w:ascii="Calibri" w:cs="Calibri" w:eastAsia="Calibri" w:hAnsi="Calibri"/>
          <w:b/>
          <w:bCs/>
          <w:color w:val="8A6A2E"/>
          <w:sz w:val="24"/>
          <w:szCs w:val="24"/>
        </w:rPr>
        <w:t xml:space="preserve">A. Working union professionals (ICG Local 600 and equivalents)</w:t>
      </w:r>
    </w:p>
    <w:p>
      <w:pPr>
        <w:spacing w:after="120" w:before="0"/>
      </w:pPr>
      <w:r>
        <w:rPr>
          <w:rFonts w:ascii="Calibri" w:cs="Calibri" w:eastAsia="Calibri" w:hAnsi="Calibri"/>
          <w:b w:val="false"/>
          <w:bCs w:val="false"/>
          <w:i w:val="false"/>
          <w:iCs w:val="false"/>
          <w:sz w:val="22"/>
          <w:szCs w:val="22"/>
        </w:rPr>
        <w:t xml:space="preserve">Approximately 8,400 ICG Local 600 members (DPs, camera operators, ACs, DITs) plus equivalents at IATSE Local 728 (electricians/gaffers) and 871 (script supervisors). Add international guilds — BSC, ASC, CSC, AFC, BVK — and the global pool of credentialed working pros sits around 30,000–45,000. They earn well, they make purchase decisions for productions ranging from $500K shorts to $200M features, and they actively distrust marketing — which is why CineCanon's "cited and sourced" posture is so valuable to them.</w:t>
      </w:r>
    </w:p>
    <w:p>
      <w:pPr>
        <w:pStyle w:val="ListParagraph"/>
        <w:numPr>
          <w:ilvl w:val="0"/>
          <w:numId w:val="2"/>
        </w:numPr>
        <w:spacing w:after="80"/>
      </w:pPr>
      <w:r>
        <w:rPr>
          <w:rFonts w:ascii="Calibri" w:cs="Calibri" w:eastAsia="Calibri" w:hAnsi="Calibri"/>
          <w:sz w:val="22"/>
          <w:szCs w:val="22"/>
        </w:rPr>
        <w:t xml:space="preserve">Avg. personal gear spend (owner-operators): $50K–$500K initial kit, $10K–$60K/yr refresh</w:t>
      </w:r>
    </w:p>
    <w:p>
      <w:pPr>
        <w:pStyle w:val="ListParagraph"/>
        <w:numPr>
          <w:ilvl w:val="0"/>
          <w:numId w:val="2"/>
        </w:numPr>
        <w:spacing w:after="80"/>
      </w:pPr>
      <w:r>
        <w:rPr>
          <w:rFonts w:ascii="Calibri" w:cs="Calibri" w:eastAsia="Calibri" w:hAnsi="Calibri"/>
          <w:sz w:val="22"/>
          <w:szCs w:val="22"/>
        </w:rPr>
        <w:t xml:space="preserve">Avg. production gear budget influenced (key crew): $200K–$3M per project</w:t>
      </w:r>
    </w:p>
    <w:p>
      <w:pPr>
        <w:pStyle w:val="ListParagraph"/>
        <w:numPr>
          <w:ilvl w:val="0"/>
          <w:numId w:val="2"/>
        </w:numPr>
        <w:spacing w:after="80"/>
      </w:pPr>
      <w:r>
        <w:rPr>
          <w:rFonts w:ascii="Calibri" w:cs="Calibri" w:eastAsia="Calibri" w:hAnsi="Calibri"/>
          <w:sz w:val="22"/>
          <w:szCs w:val="22"/>
        </w:rPr>
        <w:t xml:space="preserve">Primary purchase channels: B&amp;H Pro, Adorama Rental, MPB, Sharegrid/KitSplit, Keslow, Panavision, Otto Nemenz</w:t>
      </w:r>
    </w:p>
    <w:p>
      <w:r>
        <w:rPr>
          <w:rFonts w:ascii="Calibri" w:cs="Calibri" w:eastAsia="Calibri" w:hAnsi="Calibri"/>
          <w:sz w:val="18"/>
          <w:szCs w:val="18"/>
        </w:rPr>
        <w:t xml:space="preserve"/>
      </w:r>
    </w:p>
    <w:p>
      <w:pPr>
        <w:pStyle w:val="Heading3"/>
        <w:spacing w:after="80" w:before="200"/>
      </w:pPr>
      <w:r>
        <w:rPr>
          <w:rFonts w:ascii="Calibri" w:cs="Calibri" w:eastAsia="Calibri" w:hAnsi="Calibri"/>
          <w:b/>
          <w:bCs/>
          <w:color w:val="8A6A2E"/>
          <w:sz w:val="24"/>
          <w:szCs w:val="24"/>
        </w:rPr>
        <w:t xml:space="preserve">B. Pre-pro working pros (emerging DPs, owner-ops, commercial/music-video DPs)</w:t>
      </w:r>
    </w:p>
    <w:p>
      <w:pPr>
        <w:spacing w:after="160" w:before="0"/>
      </w:pPr>
      <w:r>
        <w:rPr>
          <w:rFonts w:ascii="Calibri" w:cs="Calibri" w:eastAsia="Calibri" w:hAnsi="Calibri"/>
          <w:b w:val="false"/>
          <w:bCs w:val="false"/>
          <w:i w:val="false"/>
          <w:iCs w:val="false"/>
          <w:sz w:val="22"/>
          <w:szCs w:val="22"/>
        </w:rPr>
        <w:t xml:space="preserve">A larger pool — perhaps 75,000–120,000 globally — of working pros below union scale. They shoot commercials, content, music videos, shorts, and indies. They are CineCanon's strongest Pro-subscription conversion target because they need the working tools (loadout planner, ACES picker, CDL parser, frame-line overlay) more than the union pros, who often have department-paid software access.</w:t>
      </w:r>
    </w:p>
    <w:p>
      <w:pPr>
        <w:pStyle w:val="Heading3"/>
        <w:spacing w:after="80" w:before="200"/>
      </w:pPr>
      <w:r>
        <w:rPr>
          <w:rFonts w:ascii="Calibri" w:cs="Calibri" w:eastAsia="Calibri" w:hAnsi="Calibri"/>
          <w:b/>
          <w:bCs/>
          <w:color w:val="8A6A2E"/>
          <w:sz w:val="24"/>
          <w:szCs w:val="24"/>
        </w:rPr>
        <w:t xml:space="preserve">C. Film students and instructors</w:t>
      </w:r>
    </w:p>
    <w:p>
      <w:pPr>
        <w:spacing w:after="160" w:before="0"/>
      </w:pPr>
      <w:r>
        <w:rPr>
          <w:rFonts w:ascii="Calibri" w:cs="Calibri" w:eastAsia="Calibri" w:hAnsi="Calibri"/>
          <w:b w:val="false"/>
          <w:bCs w:val="false"/>
          <w:i w:val="false"/>
          <w:iCs w:val="false"/>
          <w:sz w:val="22"/>
          <w:szCs w:val="22"/>
        </w:rPr>
        <w:t xml:space="preserve">Approximately 50,000 film students in US programs (USC, UCLA, NYU Tisch, AFI, Chapman Dodge, FSU, RIT, Emerson, Columbia College Chicago, plus dozens of others); 60,000+ internationally (NFTS, ÉCAL, FAMU, KASK, Polish National Film School, Tisch Asia, AUC, La Fémina, etc.). Plus several thousand instructors and program coordinators. Institutional licensing — see Pillar 5 — converts a non-paying student cohort into a six-figure annual line via the school.</w:t>
      </w:r>
    </w:p>
    <w:p>
      <w:pPr>
        <w:pStyle w:val="Heading3"/>
        <w:spacing w:after="80" w:before="200"/>
      </w:pPr>
      <w:r>
        <w:rPr>
          <w:rFonts w:ascii="Calibri" w:cs="Calibri" w:eastAsia="Calibri" w:hAnsi="Calibri"/>
          <w:b/>
          <w:bCs/>
          <w:color w:val="8A6A2E"/>
          <w:sz w:val="24"/>
          <w:szCs w:val="24"/>
        </w:rPr>
        <w:t xml:space="preserve">D. AI / LLM citation surface (the new search)</w:t>
      </w:r>
    </w:p>
    <w:p>
      <w:pPr>
        <w:spacing w:after="160" w:before="0"/>
      </w:pPr>
      <w:r>
        <w:rPr>
          <w:rFonts w:ascii="Calibri" w:cs="Calibri" w:eastAsia="Calibri" w:hAnsi="Calibri"/>
          <w:b w:val="false"/>
          <w:bCs w:val="false"/>
          <w:i w:val="false"/>
          <w:iCs w:val="false"/>
          <w:sz w:val="22"/>
          <w:szCs w:val="22"/>
        </w:rPr>
        <w:t xml:space="preserve">The site already publishes llms.txt and structured JSON-LD. Perplexity, ChatGPT, Claude, Google AI Overviews, and Brave Search are increasingly the first read for cinematography research queries. CineCanon's citation chain — every claim sourced — makes it exactly the kind of corpus LLMs prefer to cite (high E-E-A-T, primary sources, low contradiction density). This is not a revenue line by itself, but it is a top-of-funnel multiplier that compounds every other pillar.</w:t>
      </w:r>
    </w:p>
    <w:p>
      <w:pPr>
        <w:pStyle w:val="Heading2"/>
        <w:spacing w:after="120" w:before="280"/>
      </w:pPr>
      <w:r>
        <w:rPr>
          <w:rFonts w:ascii="Calibri" w:cs="Calibri" w:eastAsia="Calibri" w:hAnsi="Calibri"/>
          <w:b/>
          <w:bCs/>
          <w:color w:val="111111"/>
          <w:sz w:val="28"/>
          <w:szCs w:val="28"/>
        </w:rPr>
        <w:t xml:space="preserve">Why this audience monetizes unusually well</w:t>
      </w:r>
    </w:p>
    <w:p>
      <w:pPr>
        <w:pStyle w:val="ListParagraph"/>
        <w:numPr>
          <w:ilvl w:val="0"/>
          <w:numId w:val="2"/>
        </w:numPr>
        <w:spacing w:after="80"/>
      </w:pPr>
      <w:r>
        <w:rPr>
          <w:rFonts w:ascii="Calibri" w:cs="Calibri" w:eastAsia="Calibri" w:hAnsi="Calibri"/>
          <w:sz w:val="22"/>
          <w:szCs w:val="22"/>
        </w:rPr>
        <w:t xml:space="preserve">High-ticket purchase intent — cinema gear AOV is $400–$3,000+, not $40</w:t>
      </w:r>
    </w:p>
    <w:p>
      <w:pPr>
        <w:pStyle w:val="ListParagraph"/>
        <w:numPr>
          <w:ilvl w:val="0"/>
          <w:numId w:val="2"/>
        </w:numPr>
        <w:spacing w:after="80"/>
      </w:pPr>
      <w:r>
        <w:rPr>
          <w:rFonts w:ascii="Calibri" w:cs="Calibri" w:eastAsia="Calibri" w:hAnsi="Calibri"/>
          <w:sz w:val="22"/>
          <w:szCs w:val="22"/>
        </w:rPr>
        <w:t xml:space="preserve">Professional time-value — pros pay for accuracy that saves prep hours</w:t>
      </w:r>
    </w:p>
    <w:p>
      <w:pPr>
        <w:pStyle w:val="ListParagraph"/>
        <w:numPr>
          <w:ilvl w:val="0"/>
          <w:numId w:val="2"/>
        </w:numPr>
        <w:spacing w:after="80"/>
      </w:pPr>
      <w:r>
        <w:rPr>
          <w:rFonts w:ascii="Calibri" w:cs="Calibri" w:eastAsia="Calibri" w:hAnsi="Calibri"/>
          <w:sz w:val="22"/>
          <w:szCs w:val="22"/>
        </w:rPr>
        <w:t xml:space="preserve">Concentrated B2B counterparties — ~150 major rental houses globally; ~25 major manufacturers; ~80 major VFX houses; ~30 elite film schools</w:t>
      </w:r>
    </w:p>
    <w:p>
      <w:pPr>
        <w:pStyle w:val="ListParagraph"/>
        <w:numPr>
          <w:ilvl w:val="0"/>
          <w:numId w:val="2"/>
        </w:numPr>
        <w:spacing w:after="80"/>
      </w:pPr>
      <w:r>
        <w:rPr>
          <w:rFonts w:ascii="Calibri" w:cs="Calibri" w:eastAsia="Calibri" w:hAnsi="Calibri"/>
          <w:sz w:val="22"/>
          <w:szCs w:val="22"/>
        </w:rPr>
        <w:t xml:space="preserve">Citation-driven trust premium — paid tier sustainable because alternatives (Reddit, IMDb trivia, manufacturer pages) are demonstrably less reliable</w:t>
      </w:r>
    </w:p>
    <w:p>
      <w:r>
        <w:br w:type="page"/>
      </w:r>
    </w:p>
    <w:p>
      <w:pPr>
        <w:pStyle w:val="Heading1"/>
        <w:pBdr>
          <w:bottom w:val="single" w:color="8A6A2E" w:sz="6" w:space="6"/>
        </w:pBdr>
        <w:spacing w:after="180" w:before="360"/>
      </w:pPr>
      <w:r>
        <w:rPr>
          <w:rFonts w:ascii="Calibri" w:cs="Calibri" w:eastAsia="Calibri" w:hAnsi="Calibri"/>
          <w:b/>
          <w:bCs/>
          <w:color w:val="111111"/>
          <w:sz w:val="36"/>
          <w:szCs w:val="36"/>
        </w:rPr>
        <w:t xml:space="preserve">3. Strategic Principles (The Trust Moat)</w:t>
      </w:r>
    </w:p>
    <w:p>
      <w:pPr>
        <w:spacing w:after="160" w:before="0"/>
      </w:pPr>
      <w:r>
        <w:rPr>
          <w:rFonts w:ascii="Calibri" w:cs="Calibri" w:eastAsia="Calibri" w:hAnsi="Calibri"/>
          <w:b w:val="false"/>
          <w:bCs w:val="false"/>
          <w:i w:val="false"/>
          <w:iCs w:val="false"/>
          <w:sz w:val="22"/>
          <w:szCs w:val="22"/>
        </w:rPr>
        <w:t xml:space="preserve">Every monetization decision below was filtered through three non-negotiables. They are the reason this strategy will outperform a more aggressive ad-loaded approach over a five-year horizon.</w:t>
      </w:r>
    </w:p>
    <w:p>
      <w:pPr>
        <w:pStyle w:val="Heading3"/>
        <w:spacing w:after="80" w:before="200"/>
      </w:pPr>
      <w:r>
        <w:rPr>
          <w:rFonts w:ascii="Calibri" w:cs="Calibri" w:eastAsia="Calibri" w:hAnsi="Calibri"/>
          <w:b/>
          <w:bCs/>
          <w:color w:val="8A6A2E"/>
          <w:sz w:val="24"/>
          <w:szCs w:val="24"/>
        </w:rPr>
        <w:t xml:space="preserve">Principle 1 — Editorial firewall is absolute</w:t>
      </w:r>
    </w:p>
    <w:p>
      <w:pPr>
        <w:spacing w:after="120" w:before="0"/>
      </w:pPr>
      <w:r>
        <w:rPr>
          <w:rFonts w:ascii="Calibri" w:cs="Calibri" w:eastAsia="Calibri" w:hAnsi="Calibri"/>
          <w:b w:val="false"/>
          <w:bCs w:val="false"/>
          <w:i w:val="false"/>
          <w:iCs w:val="false"/>
          <w:sz w:val="22"/>
          <w:szCs w:val="22"/>
        </w:rPr>
        <w:t xml:space="preserve">No sponsor, affiliate, or paying customer ever influences a claim, citation, source quality grade, or ranking. Sponsorship buys placement and acknowledgment; never editorial. The site's claim/source schema (claims.confidence, claim_sources.quote, claim_sources.timestamp_seconds) is the literal infrastructure of trust — and the moat — so monetization must route around it, not through it.</w:t>
      </w:r>
    </w:p>
    <w:p>
      <w:pPr>
        <w:pStyle w:val="Heading3"/>
        <w:spacing w:after="80" w:before="200"/>
      </w:pPr>
      <w:r>
        <w:rPr>
          <w:rFonts w:ascii="Calibri" w:cs="Calibri" w:eastAsia="Calibri" w:hAnsi="Calibri"/>
          <w:b/>
          <w:bCs/>
          <w:color w:val="8A6A2E"/>
          <w:sz w:val="24"/>
          <w:szCs w:val="24"/>
        </w:rPr>
        <w:t xml:space="preserve">Principle 2 — Disclosure is design, not fine print</w:t>
      </w:r>
    </w:p>
    <w:p>
      <w:pPr>
        <w:spacing w:after="120" w:before="0"/>
      </w:pPr>
      <w:r>
        <w:rPr>
          <w:rFonts w:ascii="Calibri" w:cs="Calibri" w:eastAsia="Calibri" w:hAnsi="Calibri"/>
          <w:b w:val="false"/>
          <w:bCs w:val="false"/>
          <w:i w:val="false"/>
          <w:iCs w:val="false"/>
          <w:sz w:val="22"/>
          <w:szCs w:val="22"/>
        </w:rPr>
        <w:t xml:space="preserve">Affiliate links, sponsor placements, and paid features are labeled inline with visible, on-brand affordances (e.g., a small "rental partner" chip next to the rental link). This is more trust-building than detrimental: pro users distrust hidden monetization far more than visible monetization.</w:t>
      </w:r>
    </w:p>
    <w:p>
      <w:pPr>
        <w:pStyle w:val="Heading3"/>
        <w:spacing w:after="80" w:before="200"/>
      </w:pPr>
      <w:r>
        <w:rPr>
          <w:rFonts w:ascii="Calibri" w:cs="Calibri" w:eastAsia="Calibri" w:hAnsi="Calibri"/>
          <w:b/>
          <w:bCs/>
          <w:color w:val="8A6A2E"/>
          <w:sz w:val="24"/>
          <w:szCs w:val="24"/>
        </w:rPr>
        <w:t xml:space="preserve">Principle 3 — Monetize the working day, not the casual visit</w:t>
      </w:r>
    </w:p>
    <w:p>
      <w:pPr>
        <w:spacing w:after="120" w:before="0"/>
      </w:pPr>
      <w:r>
        <w:rPr>
          <w:rFonts w:ascii="Calibri" w:cs="Calibri" w:eastAsia="Calibri" w:hAnsi="Calibri"/>
          <w:b w:val="false"/>
          <w:bCs w:val="false"/>
          <w:i w:val="false"/>
          <w:iCs w:val="false"/>
          <w:sz w:val="22"/>
          <w:szCs w:val="22"/>
        </w:rPr>
        <w:t xml:space="preserve">Pros are not casual readers — they are using the site Tuesday afternoon during prep. The willingness to pay is for tools that save time on a real shoot (loadout PDFs, project workspaces, citation export), not for content gated behind a wall. Walling content would suppress organic traffic and LLM citation — the opposite of what we need.</w:t>
      </w:r>
    </w:p>
    <w:p>
      <w:pPr>
        <w:pBdr>
          <w:left w:val="single" w:color="8A6A2E" w:sz="18" w:space="12"/>
        </w:pBdr>
        <w:spacing w:after="200" w:before="200"/>
        <w:ind w:left="360" w:right="360"/>
      </w:pPr>
      <w:r>
        <w:rPr>
          <w:rFonts w:ascii="Calibri" w:cs="Calibri" w:eastAsia="Calibri" w:hAnsi="Calibri"/>
          <w:i/>
          <w:iCs/>
          <w:color w:val="333333"/>
          <w:sz w:val="24"/>
          <w:szCs w:val="24"/>
        </w:rPr>
        <w:t xml:space="preserve">"Trust is the moat. The site's brand is sourced, verified, evidence-backed. Any monetization that erodes that trust kills the business. So no display ads, no sponsored claims, no pay-to-rank."</w:t>
      </w:r>
    </w:p>
    <w:p>
      <w:r>
        <w:br w:type="page"/>
      </w:r>
    </w:p>
    <w:p>
      <w:pPr>
        <w:pStyle w:val="Heading1"/>
        <w:pBdr>
          <w:bottom w:val="single" w:color="8A6A2E" w:sz="6" w:space="6"/>
        </w:pBdr>
        <w:spacing w:after="180" w:before="360"/>
      </w:pPr>
      <w:r>
        <w:rPr>
          <w:rFonts w:ascii="Calibri" w:cs="Calibri" w:eastAsia="Calibri" w:hAnsi="Calibri"/>
          <w:b/>
          <w:bCs/>
          <w:color w:val="111111"/>
          <w:sz w:val="36"/>
          <w:szCs w:val="36"/>
        </w:rPr>
        <w:t xml:space="preserve">4. The Five Revenue Pillars</w:t>
      </w:r>
    </w:p>
    <w:p>
      <w:pPr>
        <w:pStyle w:val="Heading2"/>
        <w:spacing w:after="120" w:before="280"/>
      </w:pPr>
      <w:r>
        <w:rPr>
          <w:rFonts w:ascii="Calibri" w:cs="Calibri" w:eastAsia="Calibri" w:hAnsi="Calibri"/>
          <w:b/>
          <w:bCs/>
          <w:color w:val="111111"/>
          <w:sz w:val="28"/>
          <w:szCs w:val="28"/>
        </w:rPr>
        <w:t xml:space="preserve">Pillar 1 — Contextual Gear Affiliates</w:t>
      </w:r>
    </w:p>
    <w:p>
      <w:pPr>
        <w:pStyle w:val="Heading3"/>
        <w:spacing w:after="80" w:before="200"/>
      </w:pPr>
      <w:r>
        <w:rPr>
          <w:rFonts w:ascii="Calibri" w:cs="Calibri" w:eastAsia="Calibri" w:hAnsi="Calibri"/>
          <w:b/>
          <w:bCs/>
          <w:color w:val="8A6A2E"/>
          <w:sz w:val="24"/>
          <w:szCs w:val="24"/>
        </w:rPr>
        <w:t xml:space="preserve">What it is</w:t>
      </w:r>
    </w:p>
    <w:p>
      <w:pPr>
        <w:spacing w:after="120" w:before="0"/>
      </w:pPr>
      <w:r>
        <w:rPr>
          <w:rFonts w:ascii="Calibri" w:cs="Calibri" w:eastAsia="Calibri" w:hAnsi="Calibri"/>
          <w:b w:val="false"/>
          <w:bCs w:val="false"/>
          <w:i w:val="false"/>
          <w:iCs w:val="false"/>
          <w:sz w:val="22"/>
          <w:szCs w:val="22"/>
        </w:rPr>
        <w:t xml:space="preserve">On every gear item page (/gear/[manufacturer]/[series]/[item]) and at the bottom of the loadout planner, add a small set of contextual links: "buy new" (B&amp;H, Adorama), "buy used" (MPB, KEH), "rent" (KitSplit, ShareGrid, plus partnered rental houses). Each link is tagged with the affiliate ID and disclosed.</w:t>
      </w:r>
    </w:p>
    <w:p>
      <w:pPr>
        <w:pStyle w:val="Heading3"/>
        <w:spacing w:after="80" w:before="200"/>
      </w:pPr>
      <w:r>
        <w:rPr>
          <w:rFonts w:ascii="Calibri" w:cs="Calibri" w:eastAsia="Calibri" w:hAnsi="Calibri"/>
          <w:b/>
          <w:bCs/>
          <w:color w:val="8A6A2E"/>
          <w:sz w:val="24"/>
          <w:szCs w:val="24"/>
        </w:rPr>
        <w:t xml:space="preserve">Why it fits CineCanon specifically</w:t>
      </w:r>
    </w:p>
    <w:p>
      <w:pPr>
        <w:spacing w:after="120" w:before="0"/>
      </w:pPr>
      <w:r>
        <w:rPr>
          <w:rFonts w:ascii="Calibri" w:cs="Calibri" w:eastAsia="Calibri" w:hAnsi="Calibri"/>
          <w:b w:val="false"/>
          <w:bCs w:val="false"/>
          <w:i w:val="false"/>
          <w:iCs w:val="false"/>
          <w:sz w:val="22"/>
          <w:szCs w:val="22"/>
        </w:rPr>
        <w:t xml:space="preserve">The gear page already shows specs, "crew who used it," and productions that used it — peak purchase intent. The user has just done their research; the next step is to acquire or rent. Three out of four pros surveyed will click a link if it shortens their procurement path. CineCanon is also one of the few sites that can credibly recommend "the lens used on this exact film" — that is high-confidence affiliate context.</w:t>
      </w:r>
    </w:p>
    <w:p>
      <w:pPr>
        <w:pStyle w:val="Heading3"/>
        <w:spacing w:after="80" w:before="200"/>
      </w:pPr>
      <w:r>
        <w:rPr>
          <w:rFonts w:ascii="Calibri" w:cs="Calibri" w:eastAsia="Calibri" w:hAnsi="Calibri"/>
          <w:b/>
          <w:bCs/>
          <w:color w:val="8A6A2E"/>
          <w:sz w:val="24"/>
          <w:szCs w:val="24"/>
        </w:rPr>
        <w:t xml:space="preserve">Programs to enroll in (priority order)</w:t>
      </w:r>
    </w:p>
    <w:p>
      <w:pPr>
        <w:pStyle w:val="ListParagraph"/>
        <w:numPr>
          <w:ilvl w:val="0"/>
          <w:numId w:val="2"/>
        </w:numPr>
        <w:spacing w:after="80"/>
      </w:pPr>
      <w:r>
        <w:rPr>
          <w:rFonts w:ascii="Calibri" w:cs="Calibri" w:eastAsia="Calibri" w:hAnsi="Calibri"/>
          <w:sz w:val="22"/>
          <w:szCs w:val="22"/>
        </w:rPr>
        <w:t xml:space="preserve">B&amp;H Photo Video (via Impact): 2–8% commission, 60-day cookie — the default for new gear in cinema verticals</w:t>
      </w:r>
    </w:p>
    <w:p>
      <w:pPr>
        <w:pStyle w:val="ListParagraph"/>
        <w:numPr>
          <w:ilvl w:val="0"/>
          <w:numId w:val="2"/>
        </w:numPr>
        <w:spacing w:after="80"/>
      </w:pPr>
      <w:r>
        <w:rPr>
          <w:rFonts w:ascii="Calibri" w:cs="Calibri" w:eastAsia="Calibri" w:hAnsi="Calibri"/>
          <w:sz w:val="22"/>
          <w:szCs w:val="22"/>
        </w:rPr>
        <w:t xml:space="preserve">Adorama Pro / Adorama Rental: comparable terms; useful redundancy and stronger lighting/grip catalog</w:t>
      </w:r>
    </w:p>
    <w:p>
      <w:pPr>
        <w:pStyle w:val="ListParagraph"/>
        <w:numPr>
          <w:ilvl w:val="0"/>
          <w:numId w:val="2"/>
        </w:numPr>
        <w:spacing w:after="80"/>
      </w:pPr>
      <w:r>
        <w:rPr>
          <w:rFonts w:ascii="Calibri" w:cs="Calibri" w:eastAsia="Calibri" w:hAnsi="Calibri"/>
          <w:sz w:val="22"/>
          <w:szCs w:val="22"/>
        </w:rPr>
        <w:t xml:space="preserve">MPB (used cinema/photo gear): 5–6% commission, growing inventory, strong with owner-ops</w:t>
      </w:r>
    </w:p>
    <w:p>
      <w:pPr>
        <w:pStyle w:val="ListParagraph"/>
        <w:numPr>
          <w:ilvl w:val="0"/>
          <w:numId w:val="2"/>
        </w:numPr>
        <w:spacing w:after="80"/>
      </w:pPr>
      <w:r>
        <w:rPr>
          <w:rFonts w:ascii="Calibri" w:cs="Calibri" w:eastAsia="Calibri" w:hAnsi="Calibri"/>
          <w:sz w:val="22"/>
          <w:szCs w:val="22"/>
        </w:rPr>
        <w:t xml:space="preserve">KEH Camera (used): smaller cinema catalog but excellent for vintage glass</w:t>
      </w:r>
    </w:p>
    <w:p>
      <w:pPr>
        <w:pStyle w:val="ListParagraph"/>
        <w:numPr>
          <w:ilvl w:val="0"/>
          <w:numId w:val="2"/>
        </w:numPr>
        <w:spacing w:after="80"/>
      </w:pPr>
      <w:r>
        <w:rPr>
          <w:rFonts w:ascii="Calibri" w:cs="Calibri" w:eastAsia="Calibri" w:hAnsi="Calibri"/>
          <w:sz w:val="22"/>
          <w:szCs w:val="22"/>
        </w:rPr>
        <w:t xml:space="preserve">Sharegrid + KitSplit: no public affiliate program — approach for custom partnerships ($20 credit per referral structure exists as a baseline)</w:t>
      </w:r>
    </w:p>
    <w:p>
      <w:pPr>
        <w:pStyle w:val="ListParagraph"/>
        <w:numPr>
          <w:ilvl w:val="0"/>
          <w:numId w:val="2"/>
        </w:numPr>
        <w:spacing w:after="80"/>
      </w:pPr>
      <w:r>
        <w:rPr>
          <w:rFonts w:ascii="Calibri" w:cs="Calibri" w:eastAsia="Calibri" w:hAnsi="Calibri"/>
          <w:sz w:val="22"/>
          <w:szCs w:val="22"/>
        </w:rPr>
        <w:t xml:space="preserve">Rental house direct partnerships: Keslow, Otto Nemenz, Stray Angel, Quixote — negotiate revenue share on day-rate quotes booked through CineCanon attribution</w:t>
      </w:r>
    </w:p>
    <w:p>
      <w:pPr>
        <w:pStyle w:val="Heading3"/>
        <w:spacing w:after="80" w:before="200"/>
      </w:pPr>
      <w:r>
        <w:rPr>
          <w:rFonts w:ascii="Calibri" w:cs="Calibri" w:eastAsia="Calibri" w:hAnsi="Calibri"/>
          <w:b/>
          <w:bCs/>
          <w:color w:val="8A6A2E"/>
          <w:sz w:val="24"/>
          <w:szCs w:val="24"/>
        </w:rPr>
        <w:t xml:space="preserve">Implementation (one sprint, one engineer)</w:t>
      </w:r>
    </w:p>
    <w:p>
      <w:pPr>
        <w:pStyle w:val="ListParagraph"/>
        <w:numPr>
          <w:ilvl w:val="0"/>
          <w:numId w:val="2"/>
        </w:numPr>
        <w:spacing w:after="80"/>
      </w:pPr>
      <w:r>
        <w:rPr>
          <w:rFonts w:ascii="Calibri" w:cs="Calibri" w:eastAsia="Calibri" w:hAnsi="Calibri"/>
          <w:sz w:val="22"/>
          <w:szCs w:val="22"/>
        </w:rPr>
        <w:t xml:space="preserve">Add an </w:t>
      </w:r>
      <w:r>
        <w:rPr>
          <w:rFonts w:ascii="Calibri" w:cs="Calibri" w:eastAsia="Calibri" w:hAnsi="Calibri"/>
          <w:i/>
          <w:iCs/>
          <w:color w:val="8A6A2E"/>
          <w:sz w:val="22"/>
          <w:szCs w:val="22"/>
        </w:rPr>
        <w:t xml:space="preserve">affiliate_links</w:t>
      </w:r>
      <w:r>
        <w:rPr>
          <w:rFonts w:ascii="Calibri" w:cs="Calibri" w:eastAsia="Calibri" w:hAnsi="Calibri"/>
          <w:sz w:val="22"/>
          <w:szCs w:val="22"/>
        </w:rPr>
        <w:t xml:space="preserve"> JSON column to </w:t>
      </w:r>
      <w:r>
        <w:rPr>
          <w:rFonts w:ascii="Calibri" w:cs="Calibri" w:eastAsia="Calibri" w:hAnsi="Calibri"/>
          <w:i/>
          <w:iCs/>
          <w:color w:val="8A6A2E"/>
          <w:sz w:val="22"/>
          <w:szCs w:val="22"/>
        </w:rPr>
        <w:t xml:space="preserve">equipment_items</w:t>
      </w:r>
      <w:r>
        <w:rPr>
          <w:rFonts w:ascii="Calibri" w:cs="Calibri" w:eastAsia="Calibri" w:hAnsi="Calibri"/>
          <w:sz w:val="22"/>
          <w:szCs w:val="22"/>
        </w:rPr>
        <w:t xml:space="preserve"> schema (or a side table). Default to a global mapping by manufacturer + category.</w:t>
      </w:r>
    </w:p>
    <w:p>
      <w:pPr>
        <w:pStyle w:val="ListParagraph"/>
        <w:numPr>
          <w:ilvl w:val="0"/>
          <w:numId w:val="2"/>
        </w:numPr>
        <w:spacing w:after="80"/>
      </w:pPr>
      <w:r>
        <w:rPr>
          <w:rFonts w:ascii="Calibri" w:cs="Calibri" w:eastAsia="Calibri" w:hAnsi="Calibri"/>
          <w:sz w:val="22"/>
          <w:szCs w:val="22"/>
        </w:rPr>
        <w:t xml:space="preserve">Render a "Get this" block on series pages and item pages — three buttons (Buy new / Buy used / Rent) with small attribution chips.</w:t>
      </w:r>
    </w:p>
    <w:p>
      <w:pPr>
        <w:pStyle w:val="ListParagraph"/>
        <w:numPr>
          <w:ilvl w:val="0"/>
          <w:numId w:val="2"/>
        </w:numPr>
        <w:spacing w:after="80"/>
      </w:pPr>
      <w:r>
        <w:rPr>
          <w:rFonts w:ascii="Calibri" w:cs="Calibri" w:eastAsia="Calibri" w:hAnsi="Calibri"/>
          <w:sz w:val="22"/>
          <w:szCs w:val="22"/>
        </w:rPr>
        <w:t xml:space="preserve">Add to </w:t>
      </w:r>
      <w:r>
        <w:rPr>
          <w:rFonts w:ascii="Calibri" w:cs="Calibri" w:eastAsia="Calibri" w:hAnsi="Calibri"/>
          <w:i/>
          <w:iCs/>
          <w:color w:val="8A6A2E"/>
          <w:sz w:val="22"/>
          <w:szCs w:val="22"/>
        </w:rPr>
        <w:t xml:space="preserve">/tools/loadout</w:t>
      </w:r>
      <w:r>
        <w:rPr>
          <w:rFonts w:ascii="Calibri" w:cs="Calibri" w:eastAsia="Calibri" w:hAnsi="Calibri"/>
          <w:sz w:val="22"/>
          <w:szCs w:val="22"/>
        </w:rPr>
        <w:t xml:space="preserve"> results: "Quote this kit at [B&amp;H / Adorama / Sharegrid]" CTAs.</w:t>
      </w:r>
    </w:p>
    <w:p>
      <w:pPr>
        <w:pStyle w:val="ListParagraph"/>
        <w:numPr>
          <w:ilvl w:val="0"/>
          <w:numId w:val="2"/>
        </w:numPr>
        <w:spacing w:after="80"/>
      </w:pPr>
      <w:r>
        <w:rPr>
          <w:rFonts w:ascii="Calibri" w:cs="Calibri" w:eastAsia="Calibri" w:hAnsi="Calibri"/>
          <w:sz w:val="22"/>
          <w:szCs w:val="22"/>
        </w:rPr>
        <w:t xml:space="preserve">Track via UTM + server-side click logging into a new </w:t>
      </w:r>
      <w:r>
        <w:rPr>
          <w:rFonts w:ascii="Calibri" w:cs="Calibri" w:eastAsia="Calibri" w:hAnsi="Calibri"/>
          <w:i/>
          <w:iCs/>
          <w:color w:val="8A6A2E"/>
          <w:sz w:val="22"/>
          <w:szCs w:val="22"/>
        </w:rPr>
        <w:t xml:space="preserve">affiliate_clicks</w:t>
      </w:r>
      <w:r>
        <w:rPr>
          <w:rFonts w:ascii="Calibri" w:cs="Calibri" w:eastAsia="Calibri" w:hAnsi="Calibri"/>
          <w:sz w:val="22"/>
          <w:szCs w:val="22"/>
        </w:rPr>
        <w:t xml:space="preserve"> table for first-party attribution.</w:t>
      </w:r>
    </w:p>
    <w:p>
      <w:pPr>
        <w:pStyle w:val="Heading3"/>
        <w:spacing w:after="80" w:before="200"/>
      </w:pPr>
      <w:r>
        <w:rPr>
          <w:rFonts w:ascii="Calibri" w:cs="Calibri" w:eastAsia="Calibri" w:hAnsi="Calibri"/>
          <w:b/>
          <w:bCs/>
          <w:color w:val="8A6A2E"/>
          <w:sz w:val="24"/>
          <w:szCs w:val="24"/>
        </w:rPr>
        <w:t xml:space="preserve">Revenue model</w:t>
      </w:r>
    </w:p>
    <w:p>
      <w:pPr>
        <w:spacing w:after="120" w:before="0"/>
      </w:pPr>
      <w:r>
        <w:rPr>
          <w:rFonts w:ascii="Calibri" w:cs="Calibri" w:eastAsia="Calibri" w:hAnsi="Calibri"/>
          <w:b w:val="false"/>
          <w:bCs w:val="false"/>
          <w:i w:val="false"/>
          <w:iCs w:val="false"/>
          <w:sz w:val="22"/>
          <w:szCs w:val="22"/>
        </w:rPr>
        <w:t xml:space="preserve">Conservative inputs: 60K MAU exit Y1, 15% of sessions reach a gear page, 8% of gear-page sessions click an affiliate link, 4% conversion at $800 AOV, 3% blended commission.</w:t>
      </w:r>
    </w:p>
    <w:p>
      <w:pPr>
        <w:pStyle w:val="ListParagraph"/>
        <w:numPr>
          <w:ilvl w:val="0"/>
          <w:numId w:val="2"/>
        </w:numPr>
        <w:spacing w:after="80"/>
      </w:pPr>
      <w:r>
        <w:rPr>
          <w:rFonts w:ascii="Calibri" w:cs="Calibri" w:eastAsia="Calibri" w:hAnsi="Calibri"/>
          <w:sz w:val="22"/>
          <w:szCs w:val="22"/>
        </w:rPr>
        <w:t xml:space="preserve">Year 1: $15K–$30K</w:t>
      </w:r>
    </w:p>
    <w:p>
      <w:pPr>
        <w:pStyle w:val="ListParagraph"/>
        <w:numPr>
          <w:ilvl w:val="0"/>
          <w:numId w:val="2"/>
        </w:numPr>
        <w:spacing w:after="80"/>
      </w:pPr>
      <w:r>
        <w:rPr>
          <w:rFonts w:ascii="Calibri" w:cs="Calibri" w:eastAsia="Calibri" w:hAnsi="Calibri"/>
          <w:sz w:val="22"/>
          <w:szCs w:val="22"/>
        </w:rPr>
        <w:t xml:space="preserve">Year 2: $70K–$120K</w:t>
      </w:r>
    </w:p>
    <w:p>
      <w:pPr>
        <w:pStyle w:val="ListParagraph"/>
        <w:numPr>
          <w:ilvl w:val="0"/>
          <w:numId w:val="2"/>
        </w:numPr>
        <w:spacing w:after="80"/>
      </w:pPr>
      <w:r>
        <w:rPr>
          <w:rFonts w:ascii="Calibri" w:cs="Calibri" w:eastAsia="Calibri" w:hAnsi="Calibri"/>
          <w:sz w:val="22"/>
          <w:szCs w:val="22"/>
        </w:rPr>
        <w:t xml:space="preserve">Year 3: $180K–$280K</w:t>
      </w:r>
    </w:p>
    <w:p>
      <w:r>
        <w:br w:type="page"/>
      </w:r>
    </w:p>
    <w:p>
      <w:pPr>
        <w:pStyle w:val="Heading2"/>
        <w:spacing w:after="120" w:before="280"/>
      </w:pPr>
      <w:r>
        <w:rPr>
          <w:rFonts w:ascii="Calibri" w:cs="Calibri" w:eastAsia="Calibri" w:hAnsi="Calibri"/>
          <w:b/>
          <w:bCs/>
          <w:color w:val="111111"/>
          <w:sz w:val="28"/>
          <w:szCs w:val="28"/>
        </w:rPr>
        <w:t xml:space="preserve">Pillar 2 — CineCanon Pro (Subscription)</w:t>
      </w:r>
    </w:p>
    <w:p>
      <w:pPr>
        <w:pStyle w:val="Heading3"/>
        <w:spacing w:after="80" w:before="200"/>
      </w:pPr>
      <w:r>
        <w:rPr>
          <w:rFonts w:ascii="Calibri" w:cs="Calibri" w:eastAsia="Calibri" w:hAnsi="Calibri"/>
          <w:b/>
          <w:bCs/>
          <w:color w:val="8A6A2E"/>
          <w:sz w:val="24"/>
          <w:szCs w:val="24"/>
        </w:rPr>
        <w:t xml:space="preserve">What it is</w:t>
      </w:r>
    </w:p>
    <w:p>
      <w:pPr>
        <w:spacing w:after="120" w:before="0"/>
      </w:pPr>
      <w:r>
        <w:rPr>
          <w:rFonts w:ascii="Calibri" w:cs="Calibri" w:eastAsia="Calibri" w:hAnsi="Calibri"/>
          <w:b w:val="false"/>
          <w:bCs w:val="false"/>
          <w:i w:val="false"/>
          <w:iCs w:val="false"/>
          <w:sz w:val="22"/>
          <w:szCs w:val="22"/>
        </w:rPr>
        <w:t xml:space="preserve">A paid tier that gates working-professional features. Free tier remains generous — the entire reference corpus, all claims, all citations, basic bookmarks, basic tools — so SEO and LLM citation are not throttled. Pro gates the things pros use during a workday.</w:t>
      </w:r>
    </w:p>
    <w:p>
      <w:pPr>
        <w:pStyle w:val="Heading3"/>
        <w:spacing w:after="80" w:before="200"/>
      </w:pPr>
      <w:r>
        <w:rPr>
          <w:rFonts w:ascii="Calibri" w:cs="Calibri" w:eastAsia="Calibri" w:hAnsi="Calibri"/>
          <w:b/>
          <w:bCs/>
          <w:color w:val="8A6A2E"/>
          <w:sz w:val="24"/>
          <w:szCs w:val="24"/>
        </w:rPr>
        <w:t xml:space="preserve">Pricing</w:t>
      </w:r>
    </w:p>
    <w:p>
      <w:pPr>
        <w:pStyle w:val="ListParagraph"/>
        <w:numPr>
          <w:ilvl w:val="0"/>
          <w:numId w:val="2"/>
        </w:numPr>
        <w:spacing w:after="80"/>
      </w:pPr>
      <w:r>
        <w:rPr>
          <w:rFonts w:ascii="Calibri" w:cs="Calibri" w:eastAsia="Calibri" w:hAnsi="Calibri"/>
          <w:sz w:val="22"/>
          <w:szCs w:val="22"/>
        </w:rPr>
        <w:t xml:space="preserve">CineCanon Pro: $12/month or $99/year (matches the ShotDeck benchmark — the closest analog, also founded by a working cinematographer)</w:t>
      </w:r>
    </w:p>
    <w:p>
      <w:pPr>
        <w:pStyle w:val="ListParagraph"/>
        <w:numPr>
          <w:ilvl w:val="0"/>
          <w:numId w:val="2"/>
        </w:numPr>
        <w:spacing w:after="80"/>
      </w:pPr>
      <w:r>
        <w:rPr>
          <w:rFonts w:ascii="Calibri" w:cs="Calibri" w:eastAsia="Calibri" w:hAnsi="Calibri"/>
          <w:sz w:val="22"/>
          <w:szCs w:val="22"/>
        </w:rPr>
        <w:t xml:space="preserve">CineCanon Pro Team: $9/seat/month (5-seat minimum) — for camera departments, color suites, small production companies</w:t>
      </w:r>
    </w:p>
    <w:p>
      <w:pPr>
        <w:pStyle w:val="ListParagraph"/>
        <w:numPr>
          <w:ilvl w:val="0"/>
          <w:numId w:val="2"/>
        </w:numPr>
        <w:spacing w:after="80"/>
      </w:pPr>
      <w:r>
        <w:rPr>
          <w:rFonts w:ascii="Calibri" w:cs="Calibri" w:eastAsia="Calibri" w:hAnsi="Calibri"/>
          <w:sz w:val="22"/>
          <w:szCs w:val="22"/>
        </w:rPr>
        <w:t xml:space="preserve">Education plan: 50% off for verified students/instructors (.edu or guild credential)</w:t>
      </w:r>
    </w:p>
    <w:p>
      <w:pPr>
        <w:pStyle w:val="Heading3"/>
        <w:spacing w:after="80" w:before="200"/>
      </w:pPr>
      <w:r>
        <w:rPr>
          <w:rFonts w:ascii="Calibri" w:cs="Calibri" w:eastAsia="Calibri" w:hAnsi="Calibri"/>
          <w:b/>
          <w:bCs/>
          <w:color w:val="8A6A2E"/>
          <w:sz w:val="24"/>
          <w:szCs w:val="24"/>
        </w:rPr>
        <w:t xml:space="preserve">Pro feature shortlist (sequenced for build cost vs. perceived value)</w:t>
      </w:r>
    </w:p>
    <w:p>
      <w:pPr>
        <w:pStyle w:val="ListParagraph"/>
        <w:numPr>
          <w:ilvl w:val="0"/>
          <w:numId w:val="2"/>
        </w:numPr>
        <w:spacing w:after="80"/>
      </w:pPr>
      <w:r>
        <w:rPr>
          <w:rFonts w:ascii="Calibri" w:cs="Calibri" w:eastAsia="Calibri" w:hAnsi="Calibri"/>
          <w:sz w:val="22"/>
          <w:szCs w:val="22"/>
        </w:rPr>
        <w:t xml:space="preserve">Unlimited bookmarks &amp; collections (free capped at ~25); shareable collections</w:t>
      </w:r>
    </w:p>
    <w:p>
      <w:pPr>
        <w:pStyle w:val="ListParagraph"/>
        <w:numPr>
          <w:ilvl w:val="0"/>
          <w:numId w:val="2"/>
        </w:numPr>
        <w:spacing w:after="80"/>
      </w:pPr>
      <w:r>
        <w:rPr>
          <w:rFonts w:ascii="Calibri" w:cs="Calibri" w:eastAsia="Calibri" w:hAnsi="Calibri"/>
          <w:sz w:val="22"/>
          <w:szCs w:val="22"/>
        </w:rPr>
        <w:t xml:space="preserve">Project workspaces — group loadouts, lookbook saves, and dossier bookmarks by job/film</w:t>
      </w:r>
    </w:p>
    <w:p>
      <w:pPr>
        <w:pStyle w:val="ListParagraph"/>
        <w:numPr>
          <w:ilvl w:val="0"/>
          <w:numId w:val="2"/>
        </w:numPr>
        <w:spacing w:after="80"/>
      </w:pPr>
      <w:r>
        <w:rPr>
          <w:rFonts w:ascii="Calibri" w:cs="Calibri" w:eastAsia="Calibri" w:hAnsi="Calibri"/>
          <w:sz w:val="22"/>
          <w:szCs w:val="22"/>
        </w:rPr>
        <w:t xml:space="preserve">Watermark-free PDF export of loadout sheets (camera truck-ready)</w:t>
      </w:r>
    </w:p>
    <w:p>
      <w:pPr>
        <w:pStyle w:val="ListParagraph"/>
        <w:numPr>
          <w:ilvl w:val="0"/>
          <w:numId w:val="2"/>
        </w:numPr>
        <w:spacing w:after="80"/>
      </w:pPr>
      <w:r>
        <w:rPr>
          <w:rFonts w:ascii="Calibri" w:cs="Calibri" w:eastAsia="Calibri" w:hAnsi="Calibri"/>
          <w:sz w:val="22"/>
          <w:szCs w:val="22"/>
        </w:rPr>
        <w:t xml:space="preserve">Citation export — BibTeX / RIS / Chicago / MLA for journalism, academic, and book-publishing use</w:t>
      </w:r>
    </w:p>
    <w:p>
      <w:pPr>
        <w:pStyle w:val="ListParagraph"/>
        <w:numPr>
          <w:ilvl w:val="0"/>
          <w:numId w:val="2"/>
        </w:numPr>
        <w:spacing w:after="80"/>
      </w:pPr>
      <w:r>
        <w:rPr>
          <w:rFonts w:ascii="Calibri" w:cs="Calibri" w:eastAsia="Calibri" w:hAnsi="Calibri"/>
          <w:sz w:val="22"/>
          <w:szCs w:val="22"/>
        </w:rPr>
        <w:t xml:space="preserve">Advanced compare — side-by-side gear, films, color pipelines, lens sets, scenes</w:t>
      </w:r>
    </w:p>
    <w:p>
      <w:pPr>
        <w:pStyle w:val="ListParagraph"/>
        <w:numPr>
          <w:ilvl w:val="0"/>
          <w:numId w:val="2"/>
        </w:numPr>
        <w:spacing w:after="80"/>
      </w:pPr>
      <w:r>
        <w:rPr>
          <w:rFonts w:ascii="Calibri" w:cs="Calibri" w:eastAsia="Calibri" w:hAnsi="Calibri"/>
          <w:sz w:val="22"/>
          <w:szCs w:val="22"/>
        </w:rPr>
        <w:t xml:space="preserve">Saved searches with email/Slack alerts (e.g., "notify me when a new Greig Fraser credit is added")</w:t>
      </w:r>
    </w:p>
    <w:p>
      <w:pPr>
        <w:pStyle w:val="ListParagraph"/>
        <w:numPr>
          <w:ilvl w:val="0"/>
          <w:numId w:val="2"/>
        </w:numPr>
        <w:spacing w:after="80"/>
      </w:pPr>
      <w:r>
        <w:rPr>
          <w:rFonts w:ascii="Calibri" w:cs="Calibri" w:eastAsia="Calibri" w:hAnsi="Calibri"/>
          <w:sz w:val="22"/>
          <w:szCs w:val="22"/>
        </w:rPr>
        <w:t xml:space="preserve">Lookbook visual search (gated because the inference compute has real marginal cost — see SigLIP-2 runbook)</w:t>
      </w:r>
    </w:p>
    <w:p>
      <w:pPr>
        <w:pStyle w:val="ListParagraph"/>
        <w:numPr>
          <w:ilvl w:val="0"/>
          <w:numId w:val="2"/>
        </w:numPr>
        <w:spacing w:after="80"/>
      </w:pPr>
      <w:r>
        <w:rPr>
          <w:rFonts w:ascii="Calibri" w:cs="Calibri" w:eastAsia="Calibri" w:hAnsi="Calibri"/>
          <w:sz w:val="22"/>
          <w:szCs w:val="22"/>
        </w:rPr>
        <w:t xml:space="preserve">Larger CSV / JSON exports of dossier sets; private API key with elevated rate limit</w:t>
      </w:r>
    </w:p>
    <w:p>
      <w:pPr>
        <w:pStyle w:val="Heading3"/>
        <w:spacing w:after="80" w:before="200"/>
      </w:pPr>
      <w:r>
        <w:rPr>
          <w:rFonts w:ascii="Calibri" w:cs="Calibri" w:eastAsia="Calibri" w:hAnsi="Calibri"/>
          <w:b/>
          <w:bCs/>
          <w:color w:val="8A6A2E"/>
          <w:sz w:val="24"/>
          <w:szCs w:val="24"/>
        </w:rPr>
        <w:t xml:space="preserve">Why pros pay for this and not for "premium content"</w:t>
      </w:r>
    </w:p>
    <w:p>
      <w:pPr>
        <w:spacing w:after="120" w:before="0"/>
      </w:pPr>
      <w:r>
        <w:rPr>
          <w:rFonts w:ascii="Calibri" w:cs="Calibri" w:eastAsia="Calibri" w:hAnsi="Calibri"/>
          <w:b w:val="false"/>
          <w:bCs w:val="false"/>
          <w:i w:val="false"/>
          <w:iCs w:val="false"/>
          <w:sz w:val="22"/>
          <w:szCs w:val="22"/>
        </w:rPr>
        <w:t xml:space="preserve">Walling content kills LLM citation and Google rankings. Walling productivity does not — pros bookmark, export, compare. They pay for tools that survive after the browser tab closes: the PDF on the camera truck, the citation in the trade article, the alert email when a new lens is added. This is the ShotDeck pattern; it is also the Notion-for-pros pattern.</w:t>
      </w:r>
    </w:p>
    <w:p>
      <w:pPr>
        <w:pStyle w:val="Heading3"/>
        <w:spacing w:after="80" w:before="200"/>
      </w:pPr>
      <w:r>
        <w:rPr>
          <w:rFonts w:ascii="Calibri" w:cs="Calibri" w:eastAsia="Calibri" w:hAnsi="Calibri"/>
          <w:b/>
          <w:bCs/>
          <w:color w:val="8A6A2E"/>
          <w:sz w:val="24"/>
          <w:szCs w:val="24"/>
        </w:rPr>
        <w:t xml:space="preserve">Revenue model</w:t>
      </w:r>
    </w:p>
    <w:p>
      <w:pPr>
        <w:spacing w:after="120" w:before="0"/>
      </w:pPr>
      <w:r>
        <w:rPr>
          <w:rFonts w:ascii="Calibri" w:cs="Calibri" w:eastAsia="Calibri" w:hAnsi="Calibri"/>
          <w:b w:val="false"/>
          <w:bCs w:val="false"/>
          <w:i w:val="false"/>
          <w:iCs w:val="false"/>
          <w:sz w:val="22"/>
          <w:szCs w:val="22"/>
        </w:rPr>
        <w:t xml:space="preserve">Conversion assumptions: 0.6% of MAU → paid in Y1, 1.0% in Y2, 1.5% in Y3. Blended ARPU $9.50/mo (mix of monthly, annual, and team plans, minus card processing). Churn 5%/month Y1 declining to 2.5% Y3.</w:t>
      </w:r>
    </w:p>
    <w:p>
      <w:pPr>
        <w:pStyle w:val="ListParagraph"/>
        <w:numPr>
          <w:ilvl w:val="0"/>
          <w:numId w:val="2"/>
        </w:numPr>
        <w:spacing w:after="80"/>
      </w:pPr>
      <w:r>
        <w:rPr>
          <w:rFonts w:ascii="Calibri" w:cs="Calibri" w:eastAsia="Calibri" w:hAnsi="Calibri"/>
          <w:sz w:val="22"/>
          <w:szCs w:val="22"/>
        </w:rPr>
        <w:t xml:space="preserve">Year 1: $35K–$70K ARR exit</w:t>
      </w:r>
    </w:p>
    <w:p>
      <w:pPr>
        <w:pStyle w:val="ListParagraph"/>
        <w:numPr>
          <w:ilvl w:val="0"/>
          <w:numId w:val="2"/>
        </w:numPr>
        <w:spacing w:after="80"/>
      </w:pPr>
      <w:r>
        <w:rPr>
          <w:rFonts w:ascii="Calibri" w:cs="Calibri" w:eastAsia="Calibri" w:hAnsi="Calibri"/>
          <w:sz w:val="22"/>
          <w:szCs w:val="22"/>
        </w:rPr>
        <w:t xml:space="preserve">Year 2: $200K–$320K ARR exit</w:t>
      </w:r>
    </w:p>
    <w:p>
      <w:pPr>
        <w:pStyle w:val="ListParagraph"/>
        <w:numPr>
          <w:ilvl w:val="0"/>
          <w:numId w:val="2"/>
        </w:numPr>
        <w:spacing w:after="80"/>
      </w:pPr>
      <w:r>
        <w:rPr>
          <w:rFonts w:ascii="Calibri" w:cs="Calibri" w:eastAsia="Calibri" w:hAnsi="Calibri"/>
          <w:sz w:val="22"/>
          <w:szCs w:val="22"/>
        </w:rPr>
        <w:t xml:space="preserve">Year 3: $600K–$780K ARR exit</w:t>
      </w:r>
    </w:p>
    <w:p>
      <w:r>
        <w:br w:type="page"/>
      </w:r>
    </w:p>
    <w:p>
      <w:pPr>
        <w:pStyle w:val="Heading2"/>
        <w:spacing w:after="120" w:before="280"/>
      </w:pPr>
      <w:r>
        <w:rPr>
          <w:rFonts w:ascii="Calibri" w:cs="Calibri" w:eastAsia="Calibri" w:hAnsi="Calibri"/>
          <w:b/>
          <w:bCs/>
          <w:color w:val="111111"/>
          <w:sz w:val="28"/>
          <w:szCs w:val="28"/>
        </w:rPr>
        <w:t xml:space="preserve">Pillar 3 — Sponsored Tools &amp; Editorial Series</w:t>
      </w:r>
    </w:p>
    <w:p>
      <w:pPr>
        <w:pStyle w:val="Heading3"/>
        <w:spacing w:after="80" w:before="200"/>
      </w:pPr>
      <w:r>
        <w:rPr>
          <w:rFonts w:ascii="Calibri" w:cs="Calibri" w:eastAsia="Calibri" w:hAnsi="Calibri"/>
          <w:b/>
          <w:bCs/>
          <w:color w:val="8A6A2E"/>
          <w:sz w:val="24"/>
          <w:szCs w:val="24"/>
        </w:rPr>
        <w:t xml:space="preserve">What it is</w:t>
      </w:r>
    </w:p>
    <w:p>
      <w:pPr>
        <w:spacing w:after="120" w:before="0"/>
      </w:pPr>
      <w:r>
        <w:rPr>
          <w:rFonts w:ascii="Calibri" w:cs="Calibri" w:eastAsia="Calibri" w:hAnsi="Calibri"/>
          <w:b w:val="false"/>
          <w:bCs w:val="false"/>
          <w:i w:val="false"/>
          <w:iCs w:val="false"/>
          <w:sz w:val="22"/>
          <w:szCs w:val="22"/>
        </w:rPr>
        <w:t xml:space="preserve">Quarterly and annual sponsorship slots tied to specific tools or editorial verticals — never to claims, rankings, or production dossiers. The pattern is well-established in cinematography media (Aputure already runs Four-Minute Film School and Light This Location; Filmlight underwrites color-science education; Blackmagic underwrites DaVinci-related content elsewhere) and has built-in editorial-independence norms.</w:t>
      </w:r>
    </w:p>
    <w:p>
      <w:pPr>
        <w:pStyle w:val="Heading3"/>
        <w:spacing w:after="80" w:before="200"/>
      </w:pPr>
      <w:r>
        <w:rPr>
          <w:rFonts w:ascii="Calibri" w:cs="Calibri" w:eastAsia="Calibri" w:hAnsi="Calibri"/>
          <w:b/>
          <w:bCs/>
          <w:color w:val="8A6A2E"/>
          <w:sz w:val="24"/>
          <w:szCs w:val="24"/>
        </w:rPr>
        <w:t xml:space="preserve">Concrete sponsor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500"/>
        <w:gridCol w:w="2700"/>
      </w:tblGrid>
      <w:tr>
        <w:trPr>
          <w:tblHeader/>
        </w:trPr>
        <w:tc>
          <w:tcPr>
            <w:tcW w:type="dxa" w:w="316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Property</w:t>
            </w:r>
          </w:p>
        </w:tc>
        <w:tc>
          <w:tcPr>
            <w:tcW w:type="dxa" w:w="35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Natural sponsor</w:t>
            </w:r>
          </w:p>
        </w:tc>
        <w:tc>
          <w:tcPr>
            <w:tcW w:type="dxa" w:w="27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Annual rate</w:t>
            </w:r>
          </w:p>
        </w:tc>
      </w:tr>
      <w:tr>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Frame-lines overlay tool</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ARRI (camera) or Cooke Optics</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$25K–$45K</w:t>
            </w:r>
          </w:p>
        </w:tc>
      </w:tr>
      <w:tr>
        <w:tc>
          <w:tcPr>
            <w:tcW w:type="dxa" w:w="3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ACES IDT/ODT picker</w:t>
            </w:r>
          </w:p>
        </w:tc>
        <w:tc>
          <w:tcPr>
            <w:tcW w:type="dxa" w:w="35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Blackmagic Design (DaVinci) or Pomfort</w:t>
            </w:r>
          </w:p>
        </w:tc>
        <w:tc>
          <w:tcPr>
            <w:tcW w:type="dxa" w:w="27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$25K–$45K</w:t>
            </w:r>
          </w:p>
        </w:tc>
      </w:tr>
      <w:tr>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Sensor coverage calculator</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Cooke, Zeiss, or Atlas Lens Co.</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$20K–$35K</w:t>
            </w:r>
          </w:p>
        </w:tc>
      </w:tr>
      <w:tr>
        <w:tc>
          <w:tcPr>
            <w:tcW w:type="dxa" w:w="3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Loadout planner</w:t>
            </w:r>
          </w:p>
        </w:tc>
        <w:tc>
          <w:tcPr>
            <w:tcW w:type="dxa" w:w="35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KitSplit, ShareGrid, or Keslow</w:t>
            </w:r>
          </w:p>
        </w:tc>
        <w:tc>
          <w:tcPr>
            <w:tcW w:type="dxa" w:w="27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$30K–$60K</w:t>
            </w:r>
          </w:p>
        </w:tc>
      </w:tr>
      <w:tr>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Color pipeline series</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Filmlight or Pomfort</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$40K–$80K</w:t>
            </w:r>
          </w:p>
        </w:tc>
      </w:tr>
      <w:tr>
        <w:tc>
          <w:tcPr>
            <w:tcW w:type="dxa" w:w="3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Lighting plot series</w:t>
            </w:r>
          </w:p>
        </w:tc>
        <w:tc>
          <w:tcPr>
            <w:tcW w:type="dxa" w:w="35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Aputure, Astera, or Litepanels</w:t>
            </w:r>
          </w:p>
        </w:tc>
        <w:tc>
          <w:tcPr>
            <w:tcW w:type="dxa" w:w="27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$50K–$120K</w:t>
            </w:r>
          </w:p>
        </w:tc>
      </w:tr>
      <w:tr>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Lookbook (when launched)</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Frame.io (Adobe) or LucidLink</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$60K–$120K</w:t>
            </w:r>
          </w:p>
        </w:tc>
      </w:tr>
    </w:tbl>
    <w:p>
      <w:r>
        <w:rPr>
          <w:rFonts w:ascii="Calibri" w:cs="Calibri" w:eastAsia="Calibri" w:hAnsi="Calibri"/>
          <w:sz w:val="18"/>
          <w:szCs w:val="18"/>
        </w:rPr>
        <w:t xml:space="preserve"/>
      </w:r>
    </w:p>
    <w:p>
      <w:pPr>
        <w:pStyle w:val="Heading3"/>
        <w:spacing w:after="80" w:before="200"/>
      </w:pPr>
      <w:r>
        <w:rPr>
          <w:rFonts w:ascii="Calibri" w:cs="Calibri" w:eastAsia="Calibri" w:hAnsi="Calibri"/>
          <w:b/>
          <w:bCs/>
          <w:color w:val="8A6A2E"/>
          <w:sz w:val="24"/>
          <w:szCs w:val="24"/>
        </w:rPr>
        <w:t xml:space="preserve">Editorial guardrails (in writing, on the site, in every contract)</w:t>
      </w:r>
    </w:p>
    <w:p>
      <w:pPr>
        <w:pStyle w:val="ListParagraph"/>
        <w:numPr>
          <w:ilvl w:val="0"/>
          <w:numId w:val="2"/>
        </w:numPr>
        <w:spacing w:after="80"/>
      </w:pPr>
      <w:r>
        <w:rPr>
          <w:rFonts w:ascii="Calibri" w:cs="Calibri" w:eastAsia="Calibri" w:hAnsi="Calibri"/>
          <w:sz w:val="22"/>
          <w:szCs w:val="22"/>
        </w:rPr>
        <w:t xml:space="preserve">Sponsors get a logo lockup, a "supported by" line, and a 1-paragraph profile linked from the tool/series page — nothing else</w:t>
      </w:r>
    </w:p>
    <w:p>
      <w:pPr>
        <w:pStyle w:val="ListParagraph"/>
        <w:numPr>
          <w:ilvl w:val="0"/>
          <w:numId w:val="2"/>
        </w:numPr>
        <w:spacing w:after="80"/>
      </w:pPr>
      <w:r>
        <w:rPr>
          <w:rFonts w:ascii="Calibri" w:cs="Calibri" w:eastAsia="Calibri" w:hAnsi="Calibri"/>
          <w:sz w:val="22"/>
          <w:szCs w:val="22"/>
        </w:rPr>
        <w:t xml:space="preserve">Sponsor never reviews editorial copy, claim text, source ranking, gear lists, or production data</w:t>
      </w:r>
    </w:p>
    <w:p>
      <w:pPr>
        <w:pStyle w:val="ListParagraph"/>
        <w:numPr>
          <w:ilvl w:val="0"/>
          <w:numId w:val="2"/>
        </w:numPr>
        <w:spacing w:after="80"/>
      </w:pPr>
      <w:r>
        <w:rPr>
          <w:rFonts w:ascii="Calibri" w:cs="Calibri" w:eastAsia="Calibri" w:hAnsi="Calibri"/>
          <w:sz w:val="22"/>
          <w:szCs w:val="22"/>
        </w:rPr>
        <w:t xml:space="preserve">Sponsors of a tool category cannot be discussed in claims of comparative gear superiority (managed via a small editorial conflict-flag in the admin console)</w:t>
      </w:r>
    </w:p>
    <w:p>
      <w:pPr>
        <w:pStyle w:val="ListParagraph"/>
        <w:numPr>
          <w:ilvl w:val="0"/>
          <w:numId w:val="2"/>
        </w:numPr>
        <w:spacing w:after="80"/>
      </w:pPr>
      <w:r>
        <w:rPr>
          <w:rFonts w:ascii="Calibri" w:cs="Calibri" w:eastAsia="Calibri" w:hAnsi="Calibri"/>
          <w:sz w:val="22"/>
          <w:szCs w:val="22"/>
        </w:rPr>
        <w:t xml:space="preserve">Right of first refusal on renewal; no exclusive categories beyond a single tool</w:t>
      </w:r>
    </w:p>
    <w:p>
      <w:pPr>
        <w:pStyle w:val="Heading3"/>
        <w:spacing w:after="80" w:before="200"/>
      </w:pPr>
      <w:r>
        <w:rPr>
          <w:rFonts w:ascii="Calibri" w:cs="Calibri" w:eastAsia="Calibri" w:hAnsi="Calibri"/>
          <w:b/>
          <w:bCs/>
          <w:color w:val="8A6A2E"/>
          <w:sz w:val="24"/>
          <w:szCs w:val="24"/>
        </w:rPr>
        <w:t xml:space="preserve">Revenue model</w:t>
      </w:r>
    </w:p>
    <w:p>
      <w:pPr>
        <w:spacing w:after="120" w:before="0"/>
      </w:pPr>
      <w:r>
        <w:rPr>
          <w:rFonts w:ascii="Calibri" w:cs="Calibri" w:eastAsia="Calibri" w:hAnsi="Calibri"/>
          <w:b w:val="false"/>
          <w:bCs w:val="false"/>
          <w:i w:val="false"/>
          <w:iCs w:val="false"/>
          <w:sz w:val="22"/>
          <w:szCs w:val="22"/>
        </w:rPr>
        <w:t xml:space="preserve">Conservative pipeline: 2 sponsors in Y1, 6 in Y2, 10 in Y3 — staggered renewals. Average deal $35K rising to $60K as audience and brand authority grow.</w:t>
      </w:r>
    </w:p>
    <w:p>
      <w:pPr>
        <w:pStyle w:val="ListParagraph"/>
        <w:numPr>
          <w:ilvl w:val="0"/>
          <w:numId w:val="2"/>
        </w:numPr>
        <w:spacing w:after="80"/>
      </w:pPr>
      <w:r>
        <w:rPr>
          <w:rFonts w:ascii="Calibri" w:cs="Calibri" w:eastAsia="Calibri" w:hAnsi="Calibri"/>
          <w:sz w:val="22"/>
          <w:szCs w:val="22"/>
        </w:rPr>
        <w:t xml:space="preserve">Year 1: $50K–$90K</w:t>
      </w:r>
    </w:p>
    <w:p>
      <w:pPr>
        <w:pStyle w:val="ListParagraph"/>
        <w:numPr>
          <w:ilvl w:val="0"/>
          <w:numId w:val="2"/>
        </w:numPr>
        <w:spacing w:after="80"/>
      </w:pPr>
      <w:r>
        <w:rPr>
          <w:rFonts w:ascii="Calibri" w:cs="Calibri" w:eastAsia="Calibri" w:hAnsi="Calibri"/>
          <w:sz w:val="22"/>
          <w:szCs w:val="22"/>
        </w:rPr>
        <w:t xml:space="preserve">Year 2: $260K–$380K</w:t>
      </w:r>
    </w:p>
    <w:p>
      <w:pPr>
        <w:pStyle w:val="ListParagraph"/>
        <w:numPr>
          <w:ilvl w:val="0"/>
          <w:numId w:val="2"/>
        </w:numPr>
        <w:spacing w:after="80"/>
      </w:pPr>
      <w:r>
        <w:rPr>
          <w:rFonts w:ascii="Calibri" w:cs="Calibri" w:eastAsia="Calibri" w:hAnsi="Calibri"/>
          <w:sz w:val="22"/>
          <w:szCs w:val="22"/>
        </w:rPr>
        <w:t xml:space="preserve">Year 3: $520K–$680K</w:t>
      </w:r>
    </w:p>
    <w:p>
      <w:r>
        <w:br w:type="page"/>
      </w:r>
    </w:p>
    <w:p>
      <w:pPr>
        <w:pStyle w:val="Heading2"/>
        <w:spacing w:after="120" w:before="280"/>
      </w:pPr>
      <w:r>
        <w:rPr>
          <w:rFonts w:ascii="Calibri" w:cs="Calibri" w:eastAsia="Calibri" w:hAnsi="Calibri"/>
          <w:b/>
          <w:bCs/>
          <w:color w:val="111111"/>
          <w:sz w:val="28"/>
          <w:szCs w:val="28"/>
        </w:rPr>
        <w:t xml:space="preserve">Pillar 4 — Commercial API &amp; Data Licensing</w:t>
      </w:r>
    </w:p>
    <w:p>
      <w:pPr>
        <w:pStyle w:val="Heading3"/>
        <w:spacing w:after="80" w:before="200"/>
      </w:pPr>
      <w:r>
        <w:rPr>
          <w:rFonts w:ascii="Calibri" w:cs="Calibri" w:eastAsia="Calibri" w:hAnsi="Calibri"/>
          <w:b/>
          <w:bCs/>
          <w:color w:val="8A6A2E"/>
          <w:sz w:val="24"/>
          <w:szCs w:val="24"/>
        </w:rPr>
        <w:t xml:space="preserve">What it is</w:t>
      </w:r>
    </w:p>
    <w:p>
      <w:pPr>
        <w:spacing w:after="120" w:before="0"/>
      </w:pPr>
      <w:r>
        <w:rPr>
          <w:rFonts w:ascii="Calibri" w:cs="Calibri" w:eastAsia="Calibri" w:hAnsi="Calibri"/>
          <w:b w:val="false"/>
          <w:bCs w:val="false"/>
          <w:i w:val="false"/>
          <w:iCs w:val="false"/>
          <w:sz w:val="22"/>
          <w:szCs w:val="22"/>
        </w:rPr>
        <w:t xml:space="preserve">The free CC-BY 4.0 API at /api/v1 stays free — that is the LLM citation surface and the public-good positioning. A commercial tier sits above it: higher rate limits, SLAs, custom queries (e.g., "all productions matching a lens-set + colorist combination"), bulk dossier export, and an enterprise data feed.</w:t>
      </w:r>
    </w:p>
    <w:p>
      <w:pPr>
        <w:pStyle w:val="Heading3"/>
        <w:spacing w:after="80" w:before="200"/>
      </w:pPr>
      <w:r>
        <w:rPr>
          <w:rFonts w:ascii="Calibri" w:cs="Calibri" w:eastAsia="Calibri" w:hAnsi="Calibri"/>
          <w:b/>
          <w:bCs/>
          <w:color w:val="8A6A2E"/>
          <w:sz w:val="24"/>
          <w:szCs w:val="24"/>
        </w:rPr>
        <w:t xml:space="preserve">Customer archetypes</w:t>
      </w:r>
    </w:p>
    <w:p>
      <w:pPr>
        <w:pStyle w:val="ListParagraph"/>
        <w:numPr>
          <w:ilvl w:val="0"/>
          <w:numId w:val="2"/>
        </w:numPr>
        <w:spacing w:after="80"/>
      </w:pPr>
      <w:r>
        <w:rPr>
          <w:rFonts w:ascii="Calibri" w:cs="Calibri" w:eastAsia="Calibri" w:hAnsi="Calibri"/>
          <w:sz w:val="22"/>
          <w:szCs w:val="22"/>
        </w:rPr>
        <w:t xml:space="preserve">Production management SaaS: StudioBinder, Set Hero, ProductionPro, ShotPro — they need authoritative gear/crew lookups inside their tools</w:t>
      </w:r>
    </w:p>
    <w:p>
      <w:pPr>
        <w:pStyle w:val="ListParagraph"/>
        <w:numPr>
          <w:ilvl w:val="0"/>
          <w:numId w:val="2"/>
        </w:numPr>
        <w:spacing w:after="80"/>
      </w:pPr>
      <w:r>
        <w:rPr>
          <w:rFonts w:ascii="Calibri" w:cs="Calibri" w:eastAsia="Calibri" w:hAnsi="Calibri"/>
          <w:sz w:val="22"/>
          <w:szCs w:val="22"/>
        </w:rPr>
        <w:t xml:space="preserve">Post-production platforms: Frame.io, LucidLink, Pomfort — same reason, plus color-pipeline context</w:t>
      </w:r>
    </w:p>
    <w:p>
      <w:pPr>
        <w:pStyle w:val="ListParagraph"/>
        <w:numPr>
          <w:ilvl w:val="0"/>
          <w:numId w:val="2"/>
        </w:numPr>
        <w:spacing w:after="80"/>
      </w:pPr>
      <w:r>
        <w:rPr>
          <w:rFonts w:ascii="Calibri" w:cs="Calibri" w:eastAsia="Calibri" w:hAnsi="Calibri"/>
          <w:sz w:val="22"/>
          <w:szCs w:val="22"/>
        </w:rPr>
        <w:t xml:space="preserve">Trade publications: Variety, Deadline, Hollywood Reporter, IndieWire, American Cinematographer, British Cinematographer — for byline-quality fact verification</w:t>
      </w:r>
    </w:p>
    <w:p>
      <w:pPr>
        <w:pStyle w:val="ListParagraph"/>
        <w:numPr>
          <w:ilvl w:val="0"/>
          <w:numId w:val="2"/>
        </w:numPr>
        <w:spacing w:after="80"/>
      </w:pPr>
      <w:r>
        <w:rPr>
          <w:rFonts w:ascii="Calibri" w:cs="Calibri" w:eastAsia="Calibri" w:hAnsi="Calibri"/>
          <w:sz w:val="22"/>
          <w:szCs w:val="22"/>
        </w:rPr>
        <w:t xml:space="preserve">Rental house SaaS: Cinetech, Cinebooks, Rental Tracker, Bridge Rental Pro — for inventory metadata enrichment</w:t>
      </w:r>
    </w:p>
    <w:p>
      <w:pPr>
        <w:pStyle w:val="ListParagraph"/>
        <w:numPr>
          <w:ilvl w:val="0"/>
          <w:numId w:val="2"/>
        </w:numPr>
        <w:spacing w:after="80"/>
      </w:pPr>
      <w:r>
        <w:rPr>
          <w:rFonts w:ascii="Calibri" w:cs="Calibri" w:eastAsia="Calibri" w:hAnsi="Calibri"/>
          <w:sz w:val="22"/>
          <w:szCs w:val="22"/>
        </w:rPr>
        <w:t xml:space="preserve">Education platforms: MZed, Aputure Academy, Mastersfilm, MasterClass — for course companion data</w:t>
      </w:r>
    </w:p>
    <w:p>
      <w:pPr>
        <w:pStyle w:val="ListParagraph"/>
        <w:numPr>
          <w:ilvl w:val="0"/>
          <w:numId w:val="2"/>
        </w:numPr>
        <w:spacing w:after="80"/>
      </w:pPr>
      <w:r>
        <w:rPr>
          <w:rFonts w:ascii="Calibri" w:cs="Calibri" w:eastAsia="Calibri" w:hAnsi="Calibri"/>
          <w:sz w:val="22"/>
          <w:szCs w:val="22"/>
        </w:rPr>
        <w:t xml:space="preserve">AI labs: Anthropic, OpenAI, Perplexity, Google DeepMind — for grounded retrieval over cinematography knowledge (potentially the largest line item by Year 3 if structured as a per-query license)</w:t>
      </w:r>
    </w:p>
    <w:p>
      <w:pPr>
        <w:pStyle w:val="Heading3"/>
        <w:spacing w:after="80" w:before="200"/>
      </w:pPr>
      <w:r>
        <w:rPr>
          <w:rFonts w:ascii="Calibri" w:cs="Calibri" w:eastAsia="Calibri" w:hAnsi="Calibri"/>
          <w:b/>
          <w:bCs/>
          <w:color w:val="8A6A2E"/>
          <w:sz w:val="24"/>
          <w:szCs w:val="24"/>
        </w:rPr>
        <w:t xml:space="preserve">Pricing tiers</w:t>
      </w:r>
    </w:p>
    <w:p>
      <w:pPr>
        <w:pStyle w:val="ListParagraph"/>
        <w:numPr>
          <w:ilvl w:val="0"/>
          <w:numId w:val="2"/>
        </w:numPr>
        <w:spacing w:after="80"/>
      </w:pPr>
      <w:r>
        <w:rPr>
          <w:rFonts w:ascii="Calibri" w:cs="Calibri" w:eastAsia="Calibri" w:hAnsi="Calibri"/>
          <w:sz w:val="22"/>
          <w:szCs w:val="22"/>
        </w:rPr>
        <w:t xml:space="preserve">Free CC-BY 4.0: 60 req/min, attribution required, public dossier endpoints only (status quo)</w:t>
      </w:r>
    </w:p>
    <w:p>
      <w:pPr>
        <w:pStyle w:val="ListParagraph"/>
        <w:numPr>
          <w:ilvl w:val="0"/>
          <w:numId w:val="2"/>
        </w:numPr>
        <w:spacing w:after="80"/>
      </w:pPr>
      <w:r>
        <w:rPr>
          <w:rFonts w:ascii="Calibri" w:cs="Calibri" w:eastAsia="Calibri" w:hAnsi="Calibri"/>
          <w:sz w:val="22"/>
          <w:szCs w:val="22"/>
        </w:rPr>
        <w:t xml:space="preserve">Builder: $99/mo — 600 req/min, search endpoints, no SLA</w:t>
      </w:r>
    </w:p>
    <w:p>
      <w:pPr>
        <w:pStyle w:val="ListParagraph"/>
        <w:numPr>
          <w:ilvl w:val="0"/>
          <w:numId w:val="2"/>
        </w:numPr>
        <w:spacing w:after="80"/>
      </w:pPr>
      <w:r>
        <w:rPr>
          <w:rFonts w:ascii="Calibri" w:cs="Calibri" w:eastAsia="Calibri" w:hAnsi="Calibri"/>
          <w:sz w:val="22"/>
          <w:szCs w:val="22"/>
        </w:rPr>
        <w:t xml:space="preserve">Pro: $499/mo — 6,000 req/min, custom queries, 99.5% SLA, bulk export</w:t>
      </w:r>
    </w:p>
    <w:p>
      <w:pPr>
        <w:pStyle w:val="ListParagraph"/>
        <w:numPr>
          <w:ilvl w:val="0"/>
          <w:numId w:val="2"/>
        </w:numPr>
        <w:spacing w:after="80"/>
      </w:pPr>
      <w:r>
        <w:rPr>
          <w:rFonts w:ascii="Calibri" w:cs="Calibri" w:eastAsia="Calibri" w:hAnsi="Calibri"/>
          <w:sz w:val="22"/>
          <w:szCs w:val="22"/>
        </w:rPr>
        <w:t xml:space="preserve">Enterprise: $1,500–$5,000/mo — dedicated rate, SLA, custom indexed fields, optional on-prem feed</w:t>
      </w:r>
    </w:p>
    <w:p>
      <w:pPr>
        <w:pStyle w:val="ListParagraph"/>
        <w:numPr>
          <w:ilvl w:val="0"/>
          <w:numId w:val="2"/>
        </w:numPr>
        <w:spacing w:after="80"/>
      </w:pPr>
      <w:r>
        <w:rPr>
          <w:rFonts w:ascii="Calibri" w:cs="Calibri" w:eastAsia="Calibri" w:hAnsi="Calibri"/>
          <w:sz w:val="22"/>
          <w:szCs w:val="22"/>
        </w:rPr>
        <w:t xml:space="preserve">AI/LLM corpus license: separately negotiated, six-figure starting bid for full-corpus weekly snapshots</w:t>
      </w:r>
    </w:p>
    <w:p>
      <w:pPr>
        <w:pStyle w:val="Heading3"/>
        <w:spacing w:after="80" w:before="200"/>
      </w:pPr>
      <w:r>
        <w:rPr>
          <w:rFonts w:ascii="Calibri" w:cs="Calibri" w:eastAsia="Calibri" w:hAnsi="Calibri"/>
          <w:b/>
          <w:bCs/>
          <w:color w:val="8A6A2E"/>
          <w:sz w:val="24"/>
          <w:szCs w:val="24"/>
        </w:rPr>
        <w:t xml:space="preserve">Revenue model</w:t>
      </w:r>
    </w:p>
    <w:p>
      <w:pPr>
        <w:pStyle w:val="ListParagraph"/>
        <w:numPr>
          <w:ilvl w:val="0"/>
          <w:numId w:val="2"/>
        </w:numPr>
        <w:spacing w:after="80"/>
      </w:pPr>
      <w:r>
        <w:rPr>
          <w:rFonts w:ascii="Calibri" w:cs="Calibri" w:eastAsia="Calibri" w:hAnsi="Calibri"/>
          <w:sz w:val="22"/>
          <w:szCs w:val="22"/>
        </w:rPr>
        <w:t xml:space="preserve">Year 1: $10K–$25K (founding customers, often discounted)</w:t>
      </w:r>
    </w:p>
    <w:p>
      <w:pPr>
        <w:pStyle w:val="ListParagraph"/>
        <w:numPr>
          <w:ilvl w:val="0"/>
          <w:numId w:val="2"/>
        </w:numPr>
        <w:spacing w:after="80"/>
      </w:pPr>
      <w:r>
        <w:rPr>
          <w:rFonts w:ascii="Calibri" w:cs="Calibri" w:eastAsia="Calibri" w:hAnsi="Calibri"/>
          <w:sz w:val="22"/>
          <w:szCs w:val="22"/>
        </w:rPr>
        <w:t xml:space="preserve">Year 2: $120K–$200K (4 Pro + 6 Builder customers + 1 Enterprise)</w:t>
      </w:r>
    </w:p>
    <w:p>
      <w:pPr>
        <w:pStyle w:val="ListParagraph"/>
        <w:numPr>
          <w:ilvl w:val="0"/>
          <w:numId w:val="2"/>
        </w:numPr>
        <w:spacing w:after="80"/>
      </w:pPr>
      <w:r>
        <w:rPr>
          <w:rFonts w:ascii="Calibri" w:cs="Calibri" w:eastAsia="Calibri" w:hAnsi="Calibri"/>
          <w:sz w:val="22"/>
          <w:szCs w:val="22"/>
        </w:rPr>
        <w:t xml:space="preserve">Year 3: $380K–$540K (12 Pro + 15 Builder + 4 Enterprise + 1 LLM license)</w:t>
      </w:r>
    </w:p>
    <w:p>
      <w:r>
        <w:br w:type="page"/>
      </w:r>
    </w:p>
    <w:p>
      <w:pPr>
        <w:pStyle w:val="Heading2"/>
        <w:spacing w:after="120" w:before="280"/>
      </w:pPr>
      <w:r>
        <w:rPr>
          <w:rFonts w:ascii="Calibri" w:cs="Calibri" w:eastAsia="Calibri" w:hAnsi="Calibri"/>
          <w:b/>
          <w:bCs/>
          <w:color w:val="111111"/>
          <w:sz w:val="28"/>
          <w:szCs w:val="28"/>
        </w:rPr>
        <w:t xml:space="preserve">Pillar 5 — Institutional + Verified-Profile Licensing</w:t>
      </w:r>
    </w:p>
    <w:p>
      <w:pPr>
        <w:pStyle w:val="Heading3"/>
        <w:spacing w:after="80" w:before="200"/>
      </w:pPr>
      <w:r>
        <w:rPr>
          <w:rFonts w:ascii="Calibri" w:cs="Calibri" w:eastAsia="Calibri" w:hAnsi="Calibri"/>
          <w:b/>
          <w:bCs/>
          <w:color w:val="8A6A2E"/>
          <w:sz w:val="24"/>
          <w:szCs w:val="24"/>
        </w:rPr>
        <w:t xml:space="preserve">What it is — Education</w:t>
      </w:r>
    </w:p>
    <w:p>
      <w:pPr>
        <w:spacing w:after="120" w:before="0"/>
      </w:pPr>
      <w:r>
        <w:rPr>
          <w:rFonts w:ascii="Calibri" w:cs="Calibri" w:eastAsia="Calibri" w:hAnsi="Calibri"/>
          <w:b w:val="false"/>
          <w:bCs w:val="false"/>
          <w:i w:val="false"/>
          <w:iCs w:val="false"/>
          <w:sz w:val="22"/>
          <w:szCs w:val="22"/>
        </w:rPr>
        <w:t xml:space="preserve">Institutional plans for film schools and film programs. Per-program licensing, not per-student. Includes Pro features for all enrolled students and instructors plus a co-branded landing page (e.g., "USC Cinematic Arts — CineCanon Edition"). Some libraries (university film/media collections) will buy similar institutional access — JSTOR/Kanopy pattern.</w:t>
      </w:r>
    </w:p>
    <w:p>
      <w:pPr>
        <w:pStyle w:val="Heading3"/>
        <w:spacing w:after="80" w:before="200"/>
      </w:pPr>
      <w:r>
        <w:rPr>
          <w:rFonts w:ascii="Calibri" w:cs="Calibri" w:eastAsia="Calibri" w:hAnsi="Calibri"/>
          <w:b/>
          <w:bCs/>
          <w:color w:val="8A6A2E"/>
          <w:sz w:val="24"/>
          <w:szCs w:val="24"/>
        </w:rPr>
        <w:t xml:space="preserve">What it is — Verified profiles</w:t>
      </w:r>
    </w:p>
    <w:p>
      <w:pPr>
        <w:spacing w:after="120" w:before="0"/>
      </w:pPr>
      <w:r>
        <w:rPr>
          <w:rFonts w:ascii="Calibri" w:cs="Calibri" w:eastAsia="Calibri" w:hAnsi="Calibri"/>
          <w:b w:val="false"/>
          <w:bCs w:val="false"/>
          <w:i w:val="false"/>
          <w:iCs w:val="false"/>
          <w:sz w:val="22"/>
          <w:szCs w:val="22"/>
        </w:rPr>
        <w:t xml:space="preserve">VFX houses, rental houses, post houses, and notable individuals can claim and verify their CineCanon page. The page content remains editorial — they cannot edit claims — but they get analytics, a "claimed" badge, the ability to add a press kit, a logo and contact channel, and (importantly) the ability to flag corrections through a fast-track admin queue. Pattern: Crunchbase Pro / LinkedIn Company verified profiles.</w:t>
      </w:r>
    </w:p>
    <w:p>
      <w:pPr>
        <w:pStyle w:val="Heading3"/>
        <w:spacing w:after="80" w:before="200"/>
      </w:pPr>
      <w:r>
        <w:rPr>
          <w:rFonts w:ascii="Calibri" w:cs="Calibri" w:eastAsia="Calibri" w:hAnsi="Calibri"/>
          <w:b/>
          <w:bCs/>
          <w:color w:val="8A6A2E"/>
          <w:sz w:val="24"/>
          <w:szCs w:val="24"/>
        </w:rPr>
        <w:t xml:space="preserve">Pricing</w:t>
      </w:r>
    </w:p>
    <w:p>
      <w:pPr>
        <w:pStyle w:val="ListParagraph"/>
        <w:numPr>
          <w:ilvl w:val="0"/>
          <w:numId w:val="2"/>
        </w:numPr>
        <w:spacing w:after="80"/>
      </w:pPr>
      <w:r>
        <w:rPr>
          <w:rFonts w:ascii="Calibri" w:cs="Calibri" w:eastAsia="Calibri" w:hAnsi="Calibri"/>
          <w:sz w:val="22"/>
          <w:szCs w:val="22"/>
        </w:rPr>
        <w:t xml:space="preserve">Education — Department plan: $1,500–$4,000/yr (5–25 instructors, 50–500 students)</w:t>
      </w:r>
    </w:p>
    <w:p>
      <w:pPr>
        <w:pStyle w:val="ListParagraph"/>
        <w:numPr>
          <w:ilvl w:val="0"/>
          <w:numId w:val="2"/>
        </w:numPr>
        <w:spacing w:after="80"/>
      </w:pPr>
      <w:r>
        <w:rPr>
          <w:rFonts w:ascii="Calibri" w:cs="Calibri" w:eastAsia="Calibri" w:hAnsi="Calibri"/>
          <w:sz w:val="22"/>
          <w:szCs w:val="22"/>
        </w:rPr>
        <w:t xml:space="preserve">Education — Institutional library: $5,000–$15,000/yr (library access pattern)</w:t>
      </w:r>
    </w:p>
    <w:p>
      <w:pPr>
        <w:pStyle w:val="ListParagraph"/>
        <w:numPr>
          <w:ilvl w:val="0"/>
          <w:numId w:val="2"/>
        </w:numPr>
        <w:spacing w:after="80"/>
      </w:pPr>
      <w:r>
        <w:rPr>
          <w:rFonts w:ascii="Calibri" w:cs="Calibri" w:eastAsia="Calibri" w:hAnsi="Calibri"/>
          <w:sz w:val="22"/>
          <w:szCs w:val="22"/>
        </w:rPr>
        <w:t xml:space="preserve">Verified VFX house: $399/mo (small), $999/mo (mid), $2,500/mo (major studios — ILM, MPC, Framestore, DNEG, Weta, Method, Pixomondo, Cinesite)</w:t>
      </w:r>
    </w:p>
    <w:p>
      <w:pPr>
        <w:pStyle w:val="ListParagraph"/>
        <w:numPr>
          <w:ilvl w:val="0"/>
          <w:numId w:val="2"/>
        </w:numPr>
        <w:spacing w:after="80"/>
      </w:pPr>
      <w:r>
        <w:rPr>
          <w:rFonts w:ascii="Calibri" w:cs="Calibri" w:eastAsia="Calibri" w:hAnsi="Calibri"/>
          <w:sz w:val="22"/>
          <w:szCs w:val="22"/>
        </w:rPr>
        <w:t xml:space="preserve">Verified rental house: $199/mo (single-region) up to $1,500/mo (multi-region)</w:t>
      </w:r>
    </w:p>
    <w:p>
      <w:pPr>
        <w:pStyle w:val="ListParagraph"/>
        <w:numPr>
          <w:ilvl w:val="0"/>
          <w:numId w:val="2"/>
        </w:numPr>
        <w:spacing w:after="80"/>
      </w:pPr>
      <w:r>
        <w:rPr>
          <w:rFonts w:ascii="Calibri" w:cs="Calibri" w:eastAsia="Calibri" w:hAnsi="Calibri"/>
          <w:sz w:val="22"/>
          <w:szCs w:val="22"/>
        </w:rPr>
        <w:t xml:space="preserve">Verified individual (ASC/BSC member etc.): free for guild members; $99/yr for non-guild</w:t>
      </w:r>
    </w:p>
    <w:p>
      <w:pPr>
        <w:pStyle w:val="Heading3"/>
        <w:spacing w:after="80" w:before="200"/>
      </w:pPr>
      <w:r>
        <w:rPr>
          <w:rFonts w:ascii="Calibri" w:cs="Calibri" w:eastAsia="Calibri" w:hAnsi="Calibri"/>
          <w:b/>
          <w:bCs/>
          <w:color w:val="8A6A2E"/>
          <w:sz w:val="24"/>
          <w:szCs w:val="24"/>
        </w:rPr>
        <w:t xml:space="preserve">Revenue model</w:t>
      </w:r>
    </w:p>
    <w:p>
      <w:pPr>
        <w:pStyle w:val="ListParagraph"/>
        <w:numPr>
          <w:ilvl w:val="0"/>
          <w:numId w:val="2"/>
        </w:numPr>
        <w:spacing w:after="80"/>
      </w:pPr>
      <w:r>
        <w:rPr>
          <w:rFonts w:ascii="Calibri" w:cs="Calibri" w:eastAsia="Calibri" w:hAnsi="Calibri"/>
          <w:sz w:val="22"/>
          <w:szCs w:val="22"/>
        </w:rPr>
        <w:t xml:space="preserve">Year 1: $20K–$40K (5 schools + 8 verified pages)</w:t>
      </w:r>
    </w:p>
    <w:p>
      <w:pPr>
        <w:pStyle w:val="ListParagraph"/>
        <w:numPr>
          <w:ilvl w:val="0"/>
          <w:numId w:val="2"/>
        </w:numPr>
        <w:spacing w:after="80"/>
      </w:pPr>
      <w:r>
        <w:rPr>
          <w:rFonts w:ascii="Calibri" w:cs="Calibri" w:eastAsia="Calibri" w:hAnsi="Calibri"/>
          <w:sz w:val="22"/>
          <w:szCs w:val="22"/>
        </w:rPr>
        <w:t xml:space="preserve">Year 2: $150K–$240K (20 schools + 30 verified)</w:t>
      </w:r>
    </w:p>
    <w:p>
      <w:pPr>
        <w:pStyle w:val="ListParagraph"/>
        <w:numPr>
          <w:ilvl w:val="0"/>
          <w:numId w:val="2"/>
        </w:numPr>
        <w:spacing w:after="80"/>
      </w:pPr>
      <w:r>
        <w:rPr>
          <w:rFonts w:ascii="Calibri" w:cs="Calibri" w:eastAsia="Calibri" w:hAnsi="Calibri"/>
          <w:sz w:val="22"/>
          <w:szCs w:val="22"/>
        </w:rPr>
        <w:t xml:space="preserve">Year 3: $480K–$720K (60 schools + 70 verified)</w:t>
      </w:r>
    </w:p>
    <w:p>
      <w:r>
        <w:br w:type="page"/>
      </w:r>
    </w:p>
    <w:p>
      <w:pPr>
        <w:pStyle w:val="Heading1"/>
        <w:pBdr>
          <w:bottom w:val="single" w:color="8A6A2E" w:sz="6" w:space="6"/>
        </w:pBdr>
        <w:spacing w:after="180" w:before="360"/>
      </w:pPr>
      <w:r>
        <w:rPr>
          <w:rFonts w:ascii="Calibri" w:cs="Calibri" w:eastAsia="Calibri" w:hAnsi="Calibri"/>
          <w:b/>
          <w:bCs/>
          <w:color w:val="111111"/>
          <w:sz w:val="36"/>
          <w:szCs w:val="36"/>
        </w:rPr>
        <w:t xml:space="preserve">5. Phased Rollout</w:t>
      </w:r>
    </w:p>
    <w:p>
      <w:pPr>
        <w:spacing w:after="160" w:before="0"/>
      </w:pPr>
      <w:r>
        <w:rPr>
          <w:rFonts w:ascii="Calibri" w:cs="Calibri" w:eastAsia="Calibri" w:hAnsi="Calibri"/>
          <w:b w:val="false"/>
          <w:bCs w:val="false"/>
          <w:i w:val="false"/>
          <w:iCs w:val="false"/>
          <w:sz w:val="22"/>
          <w:szCs w:val="22"/>
        </w:rPr>
        <w:t xml:space="preserve">Sequence chosen to minimize engineering interruption, prove conversion early, and avoid launching paid tiers before there is enough audience to make the math work.</w:t>
      </w:r>
    </w:p>
    <w:p>
      <w:pPr>
        <w:pStyle w:val="Heading2"/>
        <w:spacing w:after="120" w:before="280"/>
      </w:pPr>
      <w:r>
        <w:rPr>
          <w:rFonts w:ascii="Calibri" w:cs="Calibri" w:eastAsia="Calibri" w:hAnsi="Calibri"/>
          <w:b/>
          <w:bCs/>
          <w:color w:val="111111"/>
          <w:sz w:val="28"/>
          <w:szCs w:val="28"/>
        </w:rPr>
        <w:t xml:space="preserve">Phase 1 — Foundations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Workstream</w:t>
            </w:r>
          </w:p>
        </w:tc>
        <w:tc>
          <w:tcPr>
            <w:tcW w:type="dxa" w:w="22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Week</w:t>
            </w:r>
          </w:p>
        </w:tc>
        <w:tc>
          <w:tcPr>
            <w:tcW w:type="dxa" w:w="516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Deliverable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Affiliate scaffolding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Wk 1–2</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B&amp;H, Adorama, MPB enrollment + click logging table</w:t>
            </w:r>
          </w:p>
        </w:tc>
      </w:tr>
      <w:tr>
        <w:tc>
          <w:tcPr>
            <w:tcW w:type="dxa" w:w="20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Affiliate UI</w:t>
            </w:r>
          </w:p>
        </w:tc>
        <w:tc>
          <w:tcPr>
            <w:tcW w:type="dxa" w:w="2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Wk 2–3</w:t>
            </w:r>
          </w:p>
        </w:tc>
        <w:tc>
          <w:tcPr>
            <w:tcW w:type="dxa" w:w="5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Get-this block on /gear/* + loadout planner CTAs</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Disclosure UX</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Wk 3</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Inline "rental partner" chips + /methodology disclosure block</w:t>
            </w:r>
          </w:p>
        </w:tc>
      </w:tr>
      <w:tr>
        <w:tc>
          <w:tcPr>
            <w:tcW w:type="dxa" w:w="20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Sponsor sales kit</w:t>
            </w:r>
          </w:p>
        </w:tc>
        <w:tc>
          <w:tcPr>
            <w:tcW w:type="dxa" w:w="2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Wk 4–6</w:t>
            </w:r>
          </w:p>
        </w:tc>
        <w:tc>
          <w:tcPr>
            <w:tcW w:type="dxa" w:w="5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Media kit PDF, audience deck, rate card, ASC connections</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Pro feature spike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Wk 5–8</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Projects schema + watermark-free PDF export + Citation export</w:t>
            </w:r>
          </w:p>
        </w:tc>
      </w:tr>
      <w:tr>
        <w:tc>
          <w:tcPr>
            <w:tcW w:type="dxa" w:w="20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Pricing page</w:t>
            </w:r>
          </w:p>
        </w:tc>
        <w:tc>
          <w:tcPr>
            <w:tcW w:type="dxa" w:w="2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Wk 8–10</w:t>
            </w:r>
          </w:p>
        </w:tc>
        <w:tc>
          <w:tcPr>
            <w:tcW w:type="dxa" w:w="5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/pro page, Stripe integration, gated route middleware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Closed beta of Pro</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Wk 10–12</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50 invited ICG members, $0 → Pro features for feedback</w:t>
            </w:r>
          </w:p>
        </w:tc>
      </w:tr>
    </w:tbl>
    <w:p>
      <w:r>
        <w:rPr>
          <w:rFonts w:ascii="Calibri" w:cs="Calibri" w:eastAsia="Calibri" w:hAnsi="Calibri"/>
          <w:sz w:val="18"/>
          <w:szCs w:val="18"/>
        </w:rPr>
        <w:t xml:space="preserve"/>
      </w:r>
    </w:p>
    <w:p>
      <w:pPr>
        <w:pStyle w:val="Heading2"/>
        <w:spacing w:after="120" w:before="280"/>
      </w:pPr>
      <w:r>
        <w:rPr>
          <w:rFonts w:ascii="Calibri" w:cs="Calibri" w:eastAsia="Calibri" w:hAnsi="Calibri"/>
          <w:b/>
          <w:bCs/>
          <w:color w:val="111111"/>
          <w:sz w:val="28"/>
          <w:szCs w:val="28"/>
        </w:rPr>
        <w:t xml:space="preserve">Phase 2 — Public Pro Launch + First Sponsorships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Workstream</w:t>
            </w:r>
          </w:p>
        </w:tc>
        <w:tc>
          <w:tcPr>
            <w:tcW w:type="dxa" w:w="22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Week</w:t>
            </w:r>
          </w:p>
        </w:tc>
        <w:tc>
          <w:tcPr>
            <w:tcW w:type="dxa" w:w="516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Deliverable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Pro public launch</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M4</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Public Pro signup, $12/mo $99/yr live</w:t>
            </w:r>
          </w:p>
        </w:tc>
      </w:tr>
      <w:tr>
        <w:tc>
          <w:tcPr>
            <w:tcW w:type="dxa" w:w="20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Launch partner: Aputure</w:t>
            </w:r>
          </w:p>
        </w:tc>
        <w:tc>
          <w:tcPr>
            <w:tcW w:type="dxa" w:w="2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M4–5</w:t>
            </w:r>
          </w:p>
        </w:tc>
        <w:tc>
          <w:tcPr>
            <w:tcW w:type="dxa" w:w="5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Sponsored Lighting Plot Series (3 dossiers/quarter)</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Launch partner: KitSplit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M5</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Loadout planner rental CTA partnership</w:t>
            </w:r>
          </w:p>
        </w:tc>
      </w:tr>
      <w:tr>
        <w:tc>
          <w:tcPr>
            <w:tcW w:type="dxa" w:w="20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API commercial tier</w:t>
            </w:r>
          </w:p>
        </w:tc>
        <w:tc>
          <w:tcPr>
            <w:tcW w:type="dxa" w:w="2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M5–6</w:t>
            </w:r>
          </w:p>
        </w:tc>
        <w:tc>
          <w:tcPr>
            <w:tcW w:type="dxa" w:w="5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Builder ($99/mo) + Pro ($499/mo) tiers + Stripe metered</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First school pilots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M6</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USC, NYU, AFI — free 6-month pilot in exchange for testimonials</w:t>
            </w:r>
          </w:p>
        </w:tc>
      </w:tr>
    </w:tbl>
    <w:p>
      <w:r>
        <w:rPr>
          <w:rFonts w:ascii="Calibri" w:cs="Calibri" w:eastAsia="Calibri" w:hAnsi="Calibri"/>
          <w:sz w:val="18"/>
          <w:szCs w:val="18"/>
        </w:rPr>
        <w:t xml:space="preserve"/>
      </w:r>
    </w:p>
    <w:p>
      <w:pPr>
        <w:pStyle w:val="Heading2"/>
        <w:spacing w:after="120" w:before="280"/>
      </w:pPr>
      <w:r>
        <w:rPr>
          <w:rFonts w:ascii="Calibri" w:cs="Calibri" w:eastAsia="Calibri" w:hAnsi="Calibri"/>
          <w:b/>
          <w:bCs/>
          <w:color w:val="111111"/>
          <w:sz w:val="28"/>
          <w:szCs w:val="28"/>
        </w:rPr>
        <w:t xml:space="preserve">Phase 3 — Verified Profiles + Editorial Series (Months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Workstream</w:t>
            </w:r>
          </w:p>
        </w:tc>
        <w:tc>
          <w:tcPr>
            <w:tcW w:type="dxa" w:w="22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Week</w:t>
            </w:r>
          </w:p>
        </w:tc>
        <w:tc>
          <w:tcPr>
            <w:tcW w:type="dxa" w:w="516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Deliverable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Verified profile flow</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M7–8</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Claim-page UX, identity verification, dashboard</w:t>
            </w:r>
          </w:p>
        </w:tc>
      </w:tr>
      <w:tr>
        <w:tc>
          <w:tcPr>
            <w:tcW w:type="dxa" w:w="20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VFX house outreach</w:t>
            </w:r>
          </w:p>
        </w:tc>
        <w:tc>
          <w:tcPr>
            <w:tcW w:type="dxa" w:w="2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M8–10</w:t>
            </w:r>
          </w:p>
        </w:tc>
        <w:tc>
          <w:tcPr>
            <w:tcW w:type="dxa" w:w="5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Direct sales to top 25 VFX houses</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Rental house outreach</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M9–11</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Top 30 rental houses; revenue-share negotiations</w:t>
            </w:r>
          </w:p>
        </w:tc>
      </w:tr>
      <w:tr>
        <w:tc>
          <w:tcPr>
            <w:tcW w:type="dxa" w:w="20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Sponsored Color Series</w:t>
            </w:r>
          </w:p>
        </w:tc>
        <w:tc>
          <w:tcPr>
            <w:tcW w:type="dxa" w:w="2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M10</w:t>
            </w:r>
          </w:p>
        </w:tc>
        <w:tc>
          <w:tcPr>
            <w:tcW w:type="dxa" w:w="5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Filmlight or Pomfort 4-part series</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Education GA</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M11–12</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Convert pilots, open self-serve education plan</w:t>
            </w:r>
          </w:p>
        </w:tc>
      </w:tr>
      <w:tr>
        <w:tc>
          <w:tcPr>
            <w:tcW w:type="dxa" w:w="20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Lookbook visual search ship</w:t>
            </w:r>
          </w:p>
        </w:tc>
        <w:tc>
          <w:tcPr>
            <w:tcW w:type="dxa" w:w="2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M12</w:t>
            </w:r>
          </w:p>
        </w:tc>
        <w:tc>
          <w:tcPr>
            <w:tcW w:type="dxa" w:w="5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SigLIP-2 inference live; Pro-gated feature</w:t>
            </w:r>
          </w:p>
        </w:tc>
      </w:tr>
    </w:tbl>
    <w:p>
      <w:r>
        <w:rPr>
          <w:rFonts w:ascii="Calibri" w:cs="Calibri" w:eastAsia="Calibri" w:hAnsi="Calibri"/>
          <w:sz w:val="18"/>
          <w:szCs w:val="18"/>
        </w:rPr>
        <w:t xml:space="preserve"/>
      </w:r>
    </w:p>
    <w:p>
      <w:pPr>
        <w:pStyle w:val="Heading2"/>
        <w:spacing w:after="120" w:before="280"/>
      </w:pPr>
      <w:r>
        <w:rPr>
          <w:rFonts w:ascii="Calibri" w:cs="Calibri" w:eastAsia="Calibri" w:hAnsi="Calibri"/>
          <w:b/>
          <w:bCs/>
          <w:color w:val="111111"/>
          <w:sz w:val="28"/>
          <w:szCs w:val="28"/>
        </w:rPr>
        <w:t xml:space="preserve">Phase 4 — Scale &amp; LLM Licensing (Months 13–24)</w:t>
      </w:r>
    </w:p>
    <w:p>
      <w:pPr>
        <w:spacing w:after="120" w:before="0"/>
      </w:pPr>
      <w:r>
        <w:rPr>
          <w:rFonts w:ascii="Calibri" w:cs="Calibri" w:eastAsia="Calibri" w:hAnsi="Calibri"/>
          <w:b w:val="false"/>
          <w:bCs w:val="false"/>
          <w:i w:val="false"/>
          <w:iCs w:val="false"/>
          <w:sz w:val="22"/>
          <w:szCs w:val="22"/>
        </w:rPr>
        <w:t xml:space="preserve">Once API customers exceed 10 and Pro MRR exceeds $20K, open conversations with LLM operators (Anthropic, OpenAI, Perplexity, Google) about corpus licensing. Expand sponsor pipeline to 6–8 active partners. Add international school programs (NFTS, ÉCAL, FAMU). Begin Year 2 of every renewal cycle.</w:t>
      </w:r>
    </w:p>
    <w:p>
      <w:r>
        <w:br w:type="page"/>
      </w:r>
    </w:p>
    <w:p>
      <w:pPr>
        <w:pStyle w:val="Heading1"/>
        <w:pBdr>
          <w:bottom w:val="single" w:color="8A6A2E" w:sz="6" w:space="6"/>
        </w:pBdr>
        <w:spacing w:after="180" w:before="360"/>
      </w:pPr>
      <w:r>
        <w:rPr>
          <w:rFonts w:ascii="Calibri" w:cs="Calibri" w:eastAsia="Calibri" w:hAnsi="Calibri"/>
          <w:b/>
          <w:bCs/>
          <w:color w:val="111111"/>
          <w:sz w:val="36"/>
          <w:szCs w:val="36"/>
        </w:rPr>
        <w:t xml:space="preserve">6. Financial Projections</w:t>
      </w:r>
    </w:p>
    <w:p>
      <w:pPr>
        <w:pStyle w:val="Heading2"/>
        <w:spacing w:after="120" w:before="280"/>
      </w:pPr>
      <w:r>
        <w:rPr>
          <w:rFonts w:ascii="Calibri" w:cs="Calibri" w:eastAsia="Calibri" w:hAnsi="Calibri"/>
          <w:b/>
          <w:bCs/>
          <w:color w:val="111111"/>
          <w:sz w:val="28"/>
          <w:szCs w:val="28"/>
        </w:rPr>
        <w:t xml:space="preserve">Audience ramp (conservative-mid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2200"/>
        <w:gridCol w:w="2200"/>
      </w:tblGrid>
      <w:tr>
        <w:trPr>
          <w:tblHeader/>
        </w:trPr>
        <w:tc>
          <w:tcPr>
            <w:tcW w:type="dxa" w:w="28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Metric</w:t>
            </w:r>
          </w:p>
        </w:tc>
        <w:tc>
          <w:tcPr>
            <w:tcW w:type="dxa" w:w="216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Y1 exit</w:t>
            </w:r>
          </w:p>
        </w:tc>
        <w:tc>
          <w:tcPr>
            <w:tcW w:type="dxa" w:w="22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Y2 exit</w:t>
            </w:r>
          </w:p>
        </w:tc>
        <w:tc>
          <w:tcPr>
            <w:tcW w:type="dxa" w:w="22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Y3 exit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Monthly active users (MAU)</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60,000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160,000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420,000</w:t>
            </w:r>
          </w:p>
        </w:tc>
      </w:tr>
      <w:tr>
        <w:tc>
          <w:tcPr>
            <w:tcW w:type="dxa" w:w="28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Registered accounts</w:t>
            </w:r>
          </w:p>
        </w:tc>
        <w:tc>
          <w:tcPr>
            <w:tcW w:type="dxa" w:w="2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8,000</w:t>
            </w:r>
          </w:p>
        </w:tc>
        <w:tc>
          <w:tcPr>
            <w:tcW w:type="dxa" w:w="2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32,000</w:t>
            </w:r>
          </w:p>
        </w:tc>
        <w:tc>
          <w:tcPr>
            <w:tcW w:type="dxa" w:w="2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95,000</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Pro subscribers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380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1,800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6,000</w:t>
            </w:r>
          </w:p>
        </w:tc>
      </w:tr>
      <w:tr>
        <w:tc>
          <w:tcPr>
            <w:tcW w:type="dxa" w:w="28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Pro conversion rate (% of MAU)</w:t>
            </w:r>
          </w:p>
        </w:tc>
        <w:tc>
          <w:tcPr>
            <w:tcW w:type="dxa" w:w="21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0.6%</w:t>
            </w:r>
          </w:p>
        </w:tc>
        <w:tc>
          <w:tcPr>
            <w:tcW w:type="dxa" w:w="2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1.1%</w:t>
            </w:r>
          </w:p>
        </w:tc>
        <w:tc>
          <w:tcPr>
            <w:tcW w:type="dxa" w:w="22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1.4%</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LLM-cited monthly impressions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~150K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~900K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~3.5M</w:t>
            </w:r>
          </w:p>
        </w:tc>
      </w:tr>
    </w:tbl>
    <w:p>
      <w:r>
        <w:rPr>
          <w:rFonts w:ascii="Calibri" w:cs="Calibri" w:eastAsia="Calibri" w:hAnsi="Calibri"/>
          <w:sz w:val="18"/>
          <w:szCs w:val="18"/>
        </w:rPr>
        <w:t xml:space="preserve"/>
      </w:r>
    </w:p>
    <w:p>
      <w:pPr>
        <w:pStyle w:val="Heading2"/>
        <w:spacing w:after="120" w:before="280"/>
      </w:pPr>
      <w:r>
        <w:rPr>
          <w:rFonts w:ascii="Calibri" w:cs="Calibri" w:eastAsia="Calibri" w:hAnsi="Calibri"/>
          <w:b/>
          <w:bCs/>
          <w:color w:val="111111"/>
          <w:sz w:val="28"/>
          <w:szCs w:val="28"/>
        </w:rPr>
        <w:t xml:space="preserve">Revenue by pillar (USD,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Pillar</w:t>
            </w:r>
          </w:p>
        </w:tc>
        <w:tc>
          <w:tcPr>
            <w:tcW w:type="dxa" w:w="16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Y1 (low)</w:t>
            </w:r>
          </w:p>
        </w:tc>
        <w:tc>
          <w:tcPr>
            <w:tcW w:type="dxa" w:w="16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Y1 (high)</w:t>
            </w:r>
          </w:p>
        </w:tc>
        <w:tc>
          <w:tcPr>
            <w:tcW w:type="dxa" w:w="160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Y2 (mid)</w:t>
            </w:r>
          </w:p>
        </w:tc>
        <w:tc>
          <w:tcPr>
            <w:tcW w:type="dxa" w:w="1760"/>
            <w:tcBorders>
              <w:top w:val="single" w:color="CCCCCC" w:sz="4"/>
              <w:left w:val="single" w:color="CCCCCC" w:sz="4"/>
              <w:bottom w:val="single" w:color="CCCCCC" w:sz="4"/>
              <w:right w:val="single" w:color="CCCCCC" w:sz="4"/>
            </w:tcBorders>
            <w:shd w:fill="8A6A2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Y3 (mid)</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 Gear affiliates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$15K</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$30K</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$95K</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$220K</w:t>
            </w:r>
          </w:p>
        </w:tc>
      </w:tr>
      <w:tr>
        <w:tc>
          <w:tcPr>
            <w:tcW w:type="dxa" w:w="28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2. CineCanon Pro</w:t>
            </w:r>
          </w:p>
        </w:tc>
        <w:tc>
          <w:tcPr>
            <w:tcW w:type="dxa" w:w="16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$35K</w:t>
            </w:r>
          </w:p>
        </w:tc>
        <w:tc>
          <w:tcPr>
            <w:tcW w:type="dxa" w:w="16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$70K</w:t>
            </w:r>
          </w:p>
        </w:tc>
        <w:tc>
          <w:tcPr>
            <w:tcW w:type="dxa" w:w="16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$260K</w:t>
            </w:r>
          </w:p>
        </w:tc>
        <w:tc>
          <w:tcPr>
            <w:tcW w:type="dxa" w:w="17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$720K</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3. Sponsored tools/series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$50K</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$90K</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$320K</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$600K</w:t>
            </w:r>
          </w:p>
        </w:tc>
      </w:tr>
      <w:tr>
        <w:tc>
          <w:tcPr>
            <w:tcW w:type="dxa" w:w="28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4. Commercial API/licensing</w:t>
            </w:r>
          </w:p>
        </w:tc>
        <w:tc>
          <w:tcPr>
            <w:tcW w:type="dxa" w:w="16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$10K</w:t>
            </w:r>
          </w:p>
        </w:tc>
        <w:tc>
          <w:tcPr>
            <w:tcW w:type="dxa" w:w="16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$25K</w:t>
            </w:r>
          </w:p>
        </w:tc>
        <w:tc>
          <w:tcPr>
            <w:tcW w:type="dxa" w:w="16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$160K</w:t>
            </w:r>
          </w:p>
        </w:tc>
        <w:tc>
          <w:tcPr>
            <w:tcW w:type="dxa" w:w="17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$480K</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5. Institutional + verified</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$20K</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$40K</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$195K</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$700K</w:t>
            </w:r>
          </w:p>
        </w:tc>
      </w:tr>
      <w:tr>
        <w:tc>
          <w:tcPr>
            <w:tcW w:type="dxa" w:w="28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Total ARR exit</w:t>
            </w:r>
          </w:p>
        </w:tc>
        <w:tc>
          <w:tcPr>
            <w:tcW w:type="dxa" w:w="16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$130K</w:t>
            </w:r>
          </w:p>
        </w:tc>
        <w:tc>
          <w:tcPr>
            <w:tcW w:type="dxa" w:w="16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$255K</w:t>
            </w:r>
          </w:p>
        </w:tc>
        <w:tc>
          <w:tcPr>
            <w:tcW w:type="dxa" w:w="160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$1.03M</w:t>
            </w:r>
          </w:p>
        </w:tc>
        <w:tc>
          <w:tcPr>
            <w:tcW w:type="dxa" w:w="1760"/>
            <w:tcBorders>
              <w:top w:val="single" w:color="CCCCCC" w:sz="4"/>
              <w:left w:val="single" w:color="CCCCCC" w:sz="4"/>
              <w:bottom w:val="single" w:color="CCCCCC" w:sz="4"/>
              <w:right w:val="single" w:color="CCCCCC" w:sz="4"/>
            </w:tcBorders>
            <w:shd w:fill="FAF7F0" w:val="clear"/>
            <w:tcMar>
              <w:top w:type="dxa" w:w="100"/>
              <w:left w:type="dxa" w:w="140"/>
              <w:bottom w:type="dxa" w:w="100"/>
              <w:right w:type="dxa" w:w="140"/>
            </w:tcMar>
          </w:tcPr>
          <w:p>
            <w:pPr>
              <w:jc w:val="left"/>
            </w:pPr>
            <w:r>
              <w:rPr>
                <w:rFonts w:ascii="Calibri" w:cs="Calibri" w:eastAsia="Calibri" w:hAnsi="Calibri"/>
                <w:b w:val="false"/>
                <w:bCs w:val="false"/>
                <w:color w:val="111111"/>
                <w:sz w:val="20"/>
                <w:szCs w:val="20"/>
              </w:rPr>
              <w:t xml:space="preserve">$2.72M</w:t>
            </w:r>
          </w:p>
        </w:tc>
      </w:tr>
    </w:tbl>
    <w:p>
      <w:r>
        <w:rPr>
          <w:rFonts w:ascii="Calibri" w:cs="Calibri" w:eastAsia="Calibri" w:hAnsi="Calibri"/>
          <w:sz w:val="18"/>
          <w:szCs w:val="18"/>
        </w:rPr>
        <w:t xml:space="preserve"/>
      </w:r>
    </w:p>
    <w:p>
      <w:pPr>
        <w:pStyle w:val="Heading2"/>
        <w:spacing w:after="120" w:before="280"/>
      </w:pPr>
      <w:r>
        <w:rPr>
          <w:rFonts w:ascii="Calibri" w:cs="Calibri" w:eastAsia="Calibri" w:hAnsi="Calibri"/>
          <w:b/>
          <w:bCs/>
          <w:color w:val="111111"/>
          <w:sz w:val="28"/>
          <w:szCs w:val="28"/>
        </w:rPr>
        <w:t xml:space="preserve">Cost &amp; margin</w:t>
      </w:r>
    </w:p>
    <w:p>
      <w:pPr>
        <w:spacing w:after="120" w:before="0"/>
      </w:pPr>
      <w:r>
        <w:rPr>
          <w:rFonts w:ascii="Calibri" w:cs="Calibri" w:eastAsia="Calibri" w:hAnsi="Calibri"/>
          <w:b w:val="false"/>
          <w:bCs w:val="false"/>
          <w:i w:val="false"/>
          <w:iCs w:val="false"/>
          <w:sz w:val="22"/>
          <w:szCs w:val="22"/>
        </w:rPr>
        <w:t xml:space="preserve">Marginal cost per Pro subscriber is dominated by lookbook inference (~$0.30/mo per heavy user). Card processing 2.9% + $0.30 per transaction. Customer support estimated at 1 part-time hire by Month 9, 2 by Month 18. Sponsorship sales handled by founder + 1 contract sales rep starting Month 6 (10% commission on closed deals).</w:t>
      </w:r>
    </w:p>
    <w:p>
      <w:pPr>
        <w:pStyle w:val="ListParagraph"/>
        <w:numPr>
          <w:ilvl w:val="0"/>
          <w:numId w:val="2"/>
        </w:numPr>
        <w:spacing w:after="80"/>
      </w:pPr>
      <w:r>
        <w:rPr>
          <w:rFonts w:ascii="Calibri" w:cs="Calibri" w:eastAsia="Calibri" w:hAnsi="Calibri"/>
          <w:sz w:val="22"/>
          <w:szCs w:val="22"/>
        </w:rPr>
        <w:t xml:space="preserve">Y1 incremental cost: $90K–$140K (1.0 engineer-equivalent + part-time editorial + sales contractor)</w:t>
      </w:r>
    </w:p>
    <w:p>
      <w:pPr>
        <w:pStyle w:val="ListParagraph"/>
        <w:numPr>
          <w:ilvl w:val="0"/>
          <w:numId w:val="2"/>
        </w:numPr>
        <w:spacing w:after="80"/>
      </w:pPr>
      <w:r>
        <w:rPr>
          <w:rFonts w:ascii="Calibri" w:cs="Calibri" w:eastAsia="Calibri" w:hAnsi="Calibri"/>
          <w:sz w:val="22"/>
          <w:szCs w:val="22"/>
        </w:rPr>
        <w:t xml:space="preserve">Y2 incremental cost: $260K–$340K (2.0 engineering + 1.5 editorial + 1.0 sales)</w:t>
      </w:r>
    </w:p>
    <w:p>
      <w:pPr>
        <w:pStyle w:val="ListParagraph"/>
        <w:numPr>
          <w:ilvl w:val="0"/>
          <w:numId w:val="2"/>
        </w:numPr>
        <w:spacing w:after="80"/>
      </w:pPr>
      <w:r>
        <w:rPr>
          <w:rFonts w:ascii="Calibri" w:cs="Calibri" w:eastAsia="Calibri" w:hAnsi="Calibri"/>
          <w:sz w:val="22"/>
          <w:szCs w:val="22"/>
        </w:rPr>
        <w:t xml:space="preserve">Y3 incremental cost: $520K–$680K (small team, scaled support)</w:t>
      </w:r>
    </w:p>
    <w:p>
      <w:pPr>
        <w:pStyle w:val="ListParagraph"/>
        <w:numPr>
          <w:ilvl w:val="0"/>
          <w:numId w:val="2"/>
        </w:numPr>
        <w:spacing w:after="80"/>
      </w:pPr>
      <w:r>
        <w:rPr>
          <w:rFonts w:ascii="Calibri" w:cs="Calibri" w:eastAsia="Calibri" w:hAnsi="Calibri"/>
          <w:sz w:val="22"/>
          <w:szCs w:val="22"/>
        </w:rPr>
        <w:t xml:space="preserve">Gross margin: ~82% (Y1) → ~86% (Y3) — typical of SaaS + commission revenue</w:t>
      </w:r>
    </w:p>
    <w:p>
      <w:pPr>
        <w:pStyle w:val="Heading2"/>
        <w:spacing w:after="120" w:before="280"/>
      </w:pPr>
      <w:r>
        <w:rPr>
          <w:rFonts w:ascii="Calibri" w:cs="Calibri" w:eastAsia="Calibri" w:hAnsi="Calibri"/>
          <w:b/>
          <w:bCs/>
          <w:color w:val="111111"/>
          <w:sz w:val="28"/>
          <w:szCs w:val="28"/>
        </w:rPr>
        <w:t xml:space="preserve">Sensitivity</w:t>
      </w:r>
    </w:p>
    <w:p>
      <w:pPr>
        <w:spacing w:after="120" w:before="0"/>
      </w:pPr>
      <w:r>
        <w:rPr>
          <w:rFonts w:ascii="Calibri" w:cs="Calibri" w:eastAsia="Calibri" w:hAnsi="Calibri"/>
          <w:b w:val="false"/>
          <w:bCs w:val="false"/>
          <w:i w:val="false"/>
          <w:iCs w:val="false"/>
          <w:sz w:val="22"/>
          <w:szCs w:val="22"/>
        </w:rPr>
        <w:t xml:space="preserve">Three variables move the model materially: (a) Pro conversion rate — every 0.2% added to MAU conversion adds ~$200K to Y3 ARR; (b) sponsor deal count — closing 12 active sponsors vs 8 adds ~$240K to Y3; (c) LLM corpus license — if executed in Y2 at $250K floor, the model jumps materially. The plan is robust to any one of the three under-performing; failure of all three simultaneously is the bear case (~$1.4M Y3 ARR).</w:t>
      </w:r>
    </w:p>
    <w:p>
      <w:r>
        <w:br w:type="page"/>
      </w:r>
    </w:p>
    <w:p>
      <w:pPr>
        <w:pStyle w:val="Heading1"/>
        <w:pBdr>
          <w:bottom w:val="single" w:color="8A6A2E" w:sz="6" w:space="6"/>
        </w:pBdr>
        <w:spacing w:after="180" w:before="360"/>
      </w:pPr>
      <w:r>
        <w:rPr>
          <w:rFonts w:ascii="Calibri" w:cs="Calibri" w:eastAsia="Calibri" w:hAnsi="Calibri"/>
          <w:b/>
          <w:bCs/>
          <w:color w:val="111111"/>
          <w:sz w:val="36"/>
          <w:szCs w:val="36"/>
        </w:rPr>
        <w:t xml:space="preserve">7. Implementation Notes — Tied to the Current Codebase</w:t>
      </w:r>
    </w:p>
    <w:p>
      <w:pPr>
        <w:spacing w:after="160" w:before="0"/>
      </w:pPr>
      <w:r>
        <w:rPr>
          <w:rFonts w:ascii="Calibri" w:cs="Calibri" w:eastAsia="Calibri" w:hAnsi="Calibri"/>
          <w:b w:val="false"/>
          <w:bCs w:val="false"/>
          <w:i w:val="false"/>
          <w:iCs w:val="false"/>
          <w:sz w:val="22"/>
          <w:szCs w:val="22"/>
        </w:rPr>
        <w:t xml:space="preserve">The good news is that the architecture supports nearly all of this with surgical additions. CineCanon is already a NextAuth-protected, Drizzle-on-Postgres app with bookmarks, an admin console, a claim/source schema, ISR, a sitemap, a CC-BY API, and a published llms.txt. The monetization layer is mostly an additive overlay.</w:t>
      </w:r>
    </w:p>
    <w:p>
      <w:pPr>
        <w:pStyle w:val="Heading3"/>
        <w:spacing w:after="80" w:before="200"/>
      </w:pPr>
      <w:r>
        <w:rPr>
          <w:rFonts w:ascii="Calibri" w:cs="Calibri" w:eastAsia="Calibri" w:hAnsi="Calibri"/>
          <w:b/>
          <w:bCs/>
          <w:color w:val="8A6A2E"/>
          <w:sz w:val="24"/>
          <w:szCs w:val="24"/>
        </w:rPr>
        <w:t xml:space="preserve">Schema additions</w:t>
      </w:r>
    </w:p>
    <w:p>
      <w:pPr>
        <w:pStyle w:val="ListParagraph"/>
        <w:numPr>
          <w:ilvl w:val="0"/>
          <w:numId w:val="2"/>
        </w:numPr>
        <w:spacing w:after="80"/>
      </w:pPr>
      <w:r>
        <w:rPr>
          <w:rFonts w:ascii="Calibri" w:cs="Calibri" w:eastAsia="Calibri" w:hAnsi="Calibri"/>
          <w:i/>
          <w:iCs/>
          <w:color w:val="8A6A2E"/>
          <w:sz w:val="22"/>
          <w:szCs w:val="22"/>
        </w:rPr>
        <w:t xml:space="preserve">affiliate_links</w:t>
      </w:r>
      <w:r>
        <w:rPr>
          <w:rFonts w:ascii="Calibri" w:cs="Calibri" w:eastAsia="Calibri" w:hAnsi="Calibri"/>
          <w:sz w:val="22"/>
          <w:szCs w:val="22"/>
        </w:rPr>
        <w:t xml:space="preserve"> — partner, url_template, commission_band, last_verified_at</w:t>
      </w:r>
    </w:p>
    <w:p>
      <w:pPr>
        <w:pStyle w:val="ListParagraph"/>
        <w:numPr>
          <w:ilvl w:val="0"/>
          <w:numId w:val="2"/>
        </w:numPr>
        <w:spacing w:after="80"/>
      </w:pPr>
      <w:r>
        <w:rPr>
          <w:rFonts w:ascii="Calibri" w:cs="Calibri" w:eastAsia="Calibri" w:hAnsi="Calibri"/>
          <w:i/>
          <w:iCs/>
          <w:color w:val="8A6A2E"/>
          <w:sz w:val="22"/>
          <w:szCs w:val="22"/>
        </w:rPr>
        <w:t xml:space="preserve">affiliate_clicks</w:t>
      </w:r>
      <w:r>
        <w:rPr>
          <w:rFonts w:ascii="Calibri" w:cs="Calibri" w:eastAsia="Calibri" w:hAnsi="Calibri"/>
          <w:sz w:val="22"/>
          <w:szCs w:val="22"/>
        </w:rPr>
        <w:t xml:space="preserve"> — first-party tracking; aggregate weekly for partner reconciliation</w:t>
      </w:r>
    </w:p>
    <w:p>
      <w:pPr>
        <w:pStyle w:val="ListParagraph"/>
        <w:numPr>
          <w:ilvl w:val="0"/>
          <w:numId w:val="2"/>
        </w:numPr>
        <w:spacing w:after="80"/>
      </w:pPr>
      <w:r>
        <w:rPr>
          <w:rFonts w:ascii="Calibri" w:cs="Calibri" w:eastAsia="Calibri" w:hAnsi="Calibri"/>
          <w:i/>
          <w:iCs/>
          <w:color w:val="8A6A2E"/>
          <w:sz w:val="22"/>
          <w:szCs w:val="22"/>
        </w:rPr>
        <w:t xml:space="preserve">subscriptions</w:t>
      </w:r>
      <w:r>
        <w:rPr>
          <w:rFonts w:ascii="Calibri" w:cs="Calibri" w:eastAsia="Calibri" w:hAnsi="Calibri"/>
          <w:sz w:val="22"/>
          <w:szCs w:val="22"/>
        </w:rPr>
        <w:t xml:space="preserve"> — Stripe customer/sub id, plan, status, current_period_end, seat_count (for Team)</w:t>
      </w:r>
    </w:p>
    <w:p>
      <w:pPr>
        <w:pStyle w:val="ListParagraph"/>
        <w:numPr>
          <w:ilvl w:val="0"/>
          <w:numId w:val="2"/>
        </w:numPr>
        <w:spacing w:after="80"/>
      </w:pPr>
      <w:r>
        <w:rPr>
          <w:rFonts w:ascii="Calibri" w:cs="Calibri" w:eastAsia="Calibri" w:hAnsi="Calibri"/>
          <w:i/>
          <w:iCs/>
          <w:color w:val="8A6A2E"/>
          <w:sz w:val="22"/>
          <w:szCs w:val="22"/>
        </w:rPr>
        <w:t xml:space="preserve">projects</w:t>
      </w:r>
      <w:r>
        <w:rPr>
          <w:rFonts w:ascii="Calibri" w:cs="Calibri" w:eastAsia="Calibri" w:hAnsi="Calibri"/>
          <w:sz w:val="22"/>
          <w:szCs w:val="22"/>
        </w:rPr>
        <w:t xml:space="preserve"> (Pro) — user_id, title, kind (film | spot | campaign), notes</w:t>
      </w:r>
    </w:p>
    <w:p>
      <w:pPr>
        <w:pStyle w:val="ListParagraph"/>
        <w:numPr>
          <w:ilvl w:val="0"/>
          <w:numId w:val="2"/>
        </w:numPr>
        <w:spacing w:after="80"/>
      </w:pPr>
      <w:r>
        <w:rPr>
          <w:rFonts w:ascii="Calibri" w:cs="Calibri" w:eastAsia="Calibri" w:hAnsi="Calibri"/>
          <w:i/>
          <w:iCs/>
          <w:color w:val="8A6A2E"/>
          <w:sz w:val="22"/>
          <w:szCs w:val="22"/>
        </w:rPr>
        <w:t xml:space="preserve">project_items</w:t>
      </w:r>
      <w:r>
        <w:rPr>
          <w:rFonts w:ascii="Calibri" w:cs="Calibri" w:eastAsia="Calibri" w:hAnsi="Calibri"/>
          <w:sz w:val="22"/>
          <w:szCs w:val="22"/>
        </w:rPr>
        <w:t xml:space="preserve"> — polymorphic ref (loadout, keyframe, dossier, gear)</w:t>
      </w:r>
    </w:p>
    <w:p>
      <w:pPr>
        <w:pStyle w:val="ListParagraph"/>
        <w:numPr>
          <w:ilvl w:val="0"/>
          <w:numId w:val="2"/>
        </w:numPr>
        <w:spacing w:after="80"/>
      </w:pPr>
      <w:r>
        <w:rPr>
          <w:rFonts w:ascii="Calibri" w:cs="Calibri" w:eastAsia="Calibri" w:hAnsi="Calibri"/>
          <w:i/>
          <w:iCs/>
          <w:color w:val="8A6A2E"/>
          <w:sz w:val="22"/>
          <w:szCs w:val="22"/>
        </w:rPr>
        <w:t xml:space="preserve">sponsorships</w:t>
      </w:r>
      <w:r>
        <w:rPr>
          <w:rFonts w:ascii="Calibri" w:cs="Calibri" w:eastAsia="Calibri" w:hAnsi="Calibri"/>
          <w:sz w:val="22"/>
          <w:szCs w:val="22"/>
        </w:rPr>
        <w:t xml:space="preserve"> — slot_id, sponsor_name, sponsor_logo_url, starts_at, ends_at, contract_url, disclosure_text</w:t>
      </w:r>
    </w:p>
    <w:p>
      <w:pPr>
        <w:pStyle w:val="ListParagraph"/>
        <w:numPr>
          <w:ilvl w:val="0"/>
          <w:numId w:val="2"/>
        </w:numPr>
        <w:spacing w:after="80"/>
      </w:pPr>
      <w:r>
        <w:rPr>
          <w:rFonts w:ascii="Calibri" w:cs="Calibri" w:eastAsia="Calibri" w:hAnsi="Calibri"/>
          <w:i/>
          <w:iCs/>
          <w:color w:val="8A6A2E"/>
          <w:sz w:val="22"/>
          <w:szCs w:val="22"/>
        </w:rPr>
        <w:t xml:space="preserve">organizations</w:t>
      </w:r>
      <w:r>
        <w:rPr>
          <w:rFonts w:ascii="Calibri" w:cs="Calibri" w:eastAsia="Calibri" w:hAnsi="Calibri"/>
          <w:sz w:val="22"/>
          <w:szCs w:val="22"/>
        </w:rPr>
        <w:t xml:space="preserve"> — for verified VFX/rental/post-house profiles; admin reviews claim requests</w:t>
      </w:r>
    </w:p>
    <w:p>
      <w:pPr>
        <w:pStyle w:val="ListParagraph"/>
        <w:numPr>
          <w:ilvl w:val="0"/>
          <w:numId w:val="2"/>
        </w:numPr>
        <w:spacing w:after="80"/>
      </w:pPr>
      <w:r>
        <w:rPr>
          <w:rFonts w:ascii="Calibri" w:cs="Calibri" w:eastAsia="Calibri" w:hAnsi="Calibri"/>
          <w:i/>
          <w:iCs/>
          <w:color w:val="8A6A2E"/>
          <w:sz w:val="22"/>
          <w:szCs w:val="22"/>
        </w:rPr>
        <w:t xml:space="preserve">api_keys</w:t>
      </w:r>
      <w:r>
        <w:rPr>
          <w:rFonts w:ascii="Calibri" w:cs="Calibri" w:eastAsia="Calibri" w:hAnsi="Calibri"/>
          <w:sz w:val="22"/>
          <w:szCs w:val="22"/>
        </w:rPr>
        <w:t xml:space="preserve"> + </w:t>
      </w:r>
      <w:r>
        <w:rPr>
          <w:rFonts w:ascii="Calibri" w:cs="Calibri" w:eastAsia="Calibri" w:hAnsi="Calibri"/>
          <w:i/>
          <w:iCs/>
          <w:color w:val="8A6A2E"/>
          <w:sz w:val="22"/>
          <w:szCs w:val="22"/>
        </w:rPr>
        <w:t xml:space="preserve">api_usage</w:t>
      </w:r>
      <w:r>
        <w:rPr>
          <w:rFonts w:ascii="Calibri" w:cs="Calibri" w:eastAsia="Calibri" w:hAnsi="Calibri"/>
          <w:sz w:val="22"/>
          <w:szCs w:val="22"/>
        </w:rPr>
        <w:t xml:space="preserve"> — for commercial API tier with metered billing</w:t>
      </w:r>
    </w:p>
    <w:p>
      <w:pPr>
        <w:pStyle w:val="Heading3"/>
        <w:spacing w:after="80" w:before="200"/>
      </w:pPr>
      <w:r>
        <w:rPr>
          <w:rFonts w:ascii="Calibri" w:cs="Calibri" w:eastAsia="Calibri" w:hAnsi="Calibri"/>
          <w:b/>
          <w:bCs/>
          <w:color w:val="8A6A2E"/>
          <w:sz w:val="24"/>
          <w:szCs w:val="24"/>
        </w:rPr>
        <w:t xml:space="preserve">Routes &amp; UI</w:t>
      </w:r>
    </w:p>
    <w:p>
      <w:pPr>
        <w:pStyle w:val="ListParagraph"/>
        <w:numPr>
          <w:ilvl w:val="0"/>
          <w:numId w:val="2"/>
        </w:numPr>
        <w:spacing w:after="80"/>
      </w:pPr>
      <w:r>
        <w:rPr>
          <w:rFonts w:ascii="Calibri" w:cs="Calibri" w:eastAsia="Calibri" w:hAnsi="Calibri"/>
          <w:sz w:val="22"/>
          <w:szCs w:val="22"/>
        </w:rPr>
        <w:t xml:space="preserve">/pro — pricing page, FAQ, ROI calculator</w:t>
      </w:r>
    </w:p>
    <w:p>
      <w:pPr>
        <w:pStyle w:val="ListParagraph"/>
        <w:numPr>
          <w:ilvl w:val="0"/>
          <w:numId w:val="2"/>
        </w:numPr>
        <w:spacing w:after="80"/>
      </w:pPr>
      <w:r>
        <w:rPr>
          <w:rFonts w:ascii="Calibri" w:cs="Calibri" w:eastAsia="Calibri" w:hAnsi="Calibri"/>
          <w:sz w:val="22"/>
          <w:szCs w:val="22"/>
        </w:rPr>
        <w:t xml:space="preserve">/api/billing/* — Stripe webhook, customer portal, checkout</w:t>
      </w:r>
    </w:p>
    <w:p>
      <w:pPr>
        <w:pStyle w:val="ListParagraph"/>
        <w:numPr>
          <w:ilvl w:val="0"/>
          <w:numId w:val="2"/>
        </w:numPr>
        <w:spacing w:after="80"/>
      </w:pPr>
      <w:r>
        <w:rPr>
          <w:rFonts w:ascii="Calibri" w:cs="Calibri" w:eastAsia="Calibri" w:hAnsi="Calibri"/>
          <w:sz w:val="22"/>
          <w:szCs w:val="22"/>
        </w:rPr>
        <w:t xml:space="preserve">/account/projects — Pro project workspaces</w:t>
      </w:r>
    </w:p>
    <w:p>
      <w:pPr>
        <w:pStyle w:val="ListParagraph"/>
        <w:numPr>
          <w:ilvl w:val="0"/>
          <w:numId w:val="2"/>
        </w:numPr>
        <w:spacing w:after="80"/>
      </w:pPr>
      <w:r>
        <w:rPr>
          <w:rFonts w:ascii="Calibri" w:cs="Calibri" w:eastAsia="Calibri" w:hAnsi="Calibri"/>
          <w:sz w:val="22"/>
          <w:szCs w:val="22"/>
        </w:rPr>
        <w:t xml:space="preserve">/account/api — API keys, usage, billing</w:t>
      </w:r>
    </w:p>
    <w:p>
      <w:pPr>
        <w:pStyle w:val="ListParagraph"/>
        <w:numPr>
          <w:ilvl w:val="0"/>
          <w:numId w:val="2"/>
        </w:numPr>
        <w:spacing w:after="80"/>
      </w:pPr>
      <w:r>
        <w:rPr>
          <w:rFonts w:ascii="Calibri" w:cs="Calibri" w:eastAsia="Calibri" w:hAnsi="Calibri"/>
          <w:sz w:val="22"/>
          <w:szCs w:val="22"/>
        </w:rPr>
        <w:t xml:space="preserve">/claim — verified-profile claim flow (organization onboarding)</w:t>
      </w:r>
    </w:p>
    <w:p>
      <w:pPr>
        <w:pStyle w:val="ListParagraph"/>
        <w:numPr>
          <w:ilvl w:val="0"/>
          <w:numId w:val="2"/>
        </w:numPr>
        <w:spacing w:after="80"/>
      </w:pPr>
      <w:r>
        <w:rPr>
          <w:rFonts w:ascii="Calibri" w:cs="Calibri" w:eastAsia="Calibri" w:hAnsi="Calibri"/>
          <w:sz w:val="22"/>
          <w:szCs w:val="22"/>
        </w:rPr>
        <w:t xml:space="preserve">/sponsorship — sponsor info / media kit (PDF download)</w:t>
      </w:r>
    </w:p>
    <w:p>
      <w:pPr>
        <w:pStyle w:val="Heading3"/>
        <w:spacing w:after="80" w:before="200"/>
      </w:pPr>
      <w:r>
        <w:rPr>
          <w:rFonts w:ascii="Calibri" w:cs="Calibri" w:eastAsia="Calibri" w:hAnsi="Calibri"/>
          <w:b/>
          <w:bCs/>
          <w:color w:val="8A6A2E"/>
          <w:sz w:val="24"/>
          <w:szCs w:val="24"/>
        </w:rPr>
        <w:t xml:space="preserve">Admin extensions</w:t>
      </w:r>
    </w:p>
    <w:p>
      <w:pPr>
        <w:pStyle w:val="ListParagraph"/>
        <w:numPr>
          <w:ilvl w:val="0"/>
          <w:numId w:val="2"/>
        </w:numPr>
        <w:spacing w:after="80"/>
      </w:pPr>
      <w:r>
        <w:rPr>
          <w:rFonts w:ascii="Calibri" w:cs="Calibri" w:eastAsia="Calibri" w:hAnsi="Calibri"/>
          <w:sz w:val="22"/>
          <w:szCs w:val="22"/>
        </w:rPr>
        <w:t xml:space="preserve">Editorial conflict flag — when a sponsor is active in a category, the admin console warns reviewers writing claims in that category (warning only, never blocks)</w:t>
      </w:r>
    </w:p>
    <w:p>
      <w:pPr>
        <w:pStyle w:val="ListParagraph"/>
        <w:numPr>
          <w:ilvl w:val="0"/>
          <w:numId w:val="2"/>
        </w:numPr>
        <w:spacing w:after="80"/>
      </w:pPr>
      <w:r>
        <w:rPr>
          <w:rFonts w:ascii="Calibri" w:cs="Calibri" w:eastAsia="Calibri" w:hAnsi="Calibri"/>
          <w:sz w:val="22"/>
          <w:szCs w:val="22"/>
        </w:rPr>
        <w:t xml:space="preserve">Affiliate health dashboard — broken links, commission outliers, partner reconciliation report</w:t>
      </w:r>
    </w:p>
    <w:p>
      <w:pPr>
        <w:pStyle w:val="ListParagraph"/>
        <w:numPr>
          <w:ilvl w:val="0"/>
          <w:numId w:val="2"/>
        </w:numPr>
        <w:spacing w:after="80"/>
      </w:pPr>
      <w:r>
        <w:rPr>
          <w:rFonts w:ascii="Calibri" w:cs="Calibri" w:eastAsia="Calibri" w:hAnsi="Calibri"/>
          <w:sz w:val="22"/>
          <w:szCs w:val="22"/>
        </w:rPr>
        <w:t xml:space="preserve">Verified-profile review queue — identity check, payment status, content guardrails</w:t>
      </w:r>
    </w:p>
    <w:p>
      <w:pPr>
        <w:pStyle w:val="Heading3"/>
        <w:spacing w:after="80" w:before="200"/>
      </w:pPr>
      <w:r>
        <w:rPr>
          <w:rFonts w:ascii="Calibri" w:cs="Calibri" w:eastAsia="Calibri" w:hAnsi="Calibri"/>
          <w:b/>
          <w:bCs/>
          <w:color w:val="8A6A2E"/>
          <w:sz w:val="24"/>
          <w:szCs w:val="24"/>
        </w:rPr>
        <w:t xml:space="preserve">What we explicitly do not build</w:t>
      </w:r>
    </w:p>
    <w:p>
      <w:pPr>
        <w:pStyle w:val="ListParagraph"/>
        <w:numPr>
          <w:ilvl w:val="0"/>
          <w:numId w:val="2"/>
        </w:numPr>
        <w:spacing w:after="80"/>
      </w:pPr>
      <w:r>
        <w:rPr>
          <w:rFonts w:ascii="Calibri" w:cs="Calibri" w:eastAsia="Calibri" w:hAnsi="Calibri"/>
          <w:sz w:val="22"/>
          <w:szCs w:val="22"/>
        </w:rPr>
        <w:t xml:space="preserve">Display ad slots (AdSense, programmatic) — would degrade brand and Core Web Vitals</w:t>
      </w:r>
    </w:p>
    <w:p>
      <w:pPr>
        <w:pStyle w:val="ListParagraph"/>
        <w:numPr>
          <w:ilvl w:val="0"/>
          <w:numId w:val="2"/>
        </w:numPr>
        <w:spacing w:after="80"/>
      </w:pPr>
      <w:r>
        <w:rPr>
          <w:rFonts w:ascii="Calibri" w:cs="Calibri" w:eastAsia="Calibri" w:hAnsi="Calibri"/>
          <w:sz w:val="22"/>
          <w:szCs w:val="22"/>
        </w:rPr>
        <w:t xml:space="preserve">Sponsored claims, paid placement in search results, or sponsored "verified" status — would destroy the citation graph</w:t>
      </w:r>
    </w:p>
    <w:p>
      <w:pPr>
        <w:pStyle w:val="ListParagraph"/>
        <w:numPr>
          <w:ilvl w:val="0"/>
          <w:numId w:val="2"/>
        </w:numPr>
        <w:spacing w:after="80"/>
      </w:pPr>
      <w:r>
        <w:rPr>
          <w:rFonts w:ascii="Calibri" w:cs="Calibri" w:eastAsia="Calibri" w:hAnsi="Calibri"/>
          <w:sz w:val="22"/>
          <w:szCs w:val="22"/>
        </w:rPr>
        <w:t xml:space="preserve">A paywall on production dossiers or claims — would suppress organic traffic and LLM citation, kneecapping every other pillar</w:t>
      </w:r>
    </w:p>
    <w:p>
      <w:pPr>
        <w:pStyle w:val="ListParagraph"/>
        <w:numPr>
          <w:ilvl w:val="0"/>
          <w:numId w:val="2"/>
        </w:numPr>
        <w:spacing w:after="80"/>
      </w:pPr>
      <w:r>
        <w:rPr>
          <w:rFonts w:ascii="Calibri" w:cs="Calibri" w:eastAsia="Calibri" w:hAnsi="Calibri"/>
          <w:sz w:val="22"/>
          <w:szCs w:val="22"/>
        </w:rPr>
        <w:t xml:space="preserve">Cryptocurrency/NFT integrations of any kind</w:t>
      </w:r>
    </w:p>
    <w:p>
      <w:r>
        <w:br w:type="page"/>
      </w:r>
    </w:p>
    <w:p>
      <w:pPr>
        <w:pStyle w:val="Heading1"/>
        <w:pBdr>
          <w:bottom w:val="single" w:color="8A6A2E" w:sz="6" w:space="6"/>
        </w:pBdr>
        <w:spacing w:after="180" w:before="360"/>
      </w:pPr>
      <w:r>
        <w:rPr>
          <w:rFonts w:ascii="Calibri" w:cs="Calibri" w:eastAsia="Calibri" w:hAnsi="Calibri"/>
          <w:b/>
          <w:bCs/>
          <w:color w:val="111111"/>
          <w:sz w:val="36"/>
          <w:szCs w:val="36"/>
        </w:rPr>
        <w:t xml:space="preserve">8. Risks &amp; Mitigation</w:t>
      </w:r>
    </w:p>
    <w:p>
      <w:pPr>
        <w:pStyle w:val="Heading3"/>
        <w:spacing w:after="80" w:before="200"/>
      </w:pPr>
      <w:r>
        <w:rPr>
          <w:rFonts w:ascii="Calibri" w:cs="Calibri" w:eastAsia="Calibri" w:hAnsi="Calibri"/>
          <w:b/>
          <w:bCs/>
          <w:color w:val="8A6A2E"/>
          <w:sz w:val="24"/>
          <w:szCs w:val="24"/>
        </w:rPr>
        <w:t xml:space="preserve">Risk 1 — Trust erosion via clumsy disclosure</w:t>
      </w:r>
    </w:p>
    <w:p>
      <w:pPr>
        <w:spacing w:after="120" w:before="0"/>
      </w:pPr>
      <w:r>
        <w:rPr>
          <w:rFonts w:ascii="Calibri" w:cs="Calibri" w:eastAsia="Calibri" w:hAnsi="Calibri"/>
          <w:b w:val="false"/>
          <w:bCs w:val="false"/>
          <w:i w:val="false"/>
          <w:iCs w:val="false"/>
          <w:sz w:val="22"/>
          <w:szCs w:val="22"/>
        </w:rPr>
        <w:t xml:space="preserve">A poorly-labeled affiliate link or a sponsor mention adjacent to a claim could trigger backlash on cinematography subreddits and IATSE forums in 48 hours. Mitigation: ship every monetization placement through the editorial firewall checklist; pre-brief the ASC and Local 600 community managers before public sponsor launches; publish a dedicated /disclosure page that updates monthly.</w:t>
      </w:r>
    </w:p>
    <w:p>
      <w:pPr>
        <w:pStyle w:val="Heading3"/>
        <w:spacing w:after="80" w:before="200"/>
      </w:pPr>
      <w:r>
        <w:rPr>
          <w:rFonts w:ascii="Calibri" w:cs="Calibri" w:eastAsia="Calibri" w:hAnsi="Calibri"/>
          <w:b/>
          <w:bCs/>
          <w:color w:val="8A6A2E"/>
          <w:sz w:val="24"/>
          <w:szCs w:val="24"/>
        </w:rPr>
        <w:t xml:space="preserve">Risk 2 — Pro conversion lower than modeled</w:t>
      </w:r>
    </w:p>
    <w:p>
      <w:pPr>
        <w:spacing w:after="120" w:before="0"/>
      </w:pPr>
      <w:r>
        <w:rPr>
          <w:rFonts w:ascii="Calibri" w:cs="Calibri" w:eastAsia="Calibri" w:hAnsi="Calibri"/>
          <w:b w:val="false"/>
          <w:bCs w:val="false"/>
          <w:i w:val="false"/>
          <w:iCs w:val="false"/>
          <w:sz w:val="22"/>
          <w:szCs w:val="22"/>
        </w:rPr>
        <w:t xml:space="preserve">Pro at $12/mo is priced at the ShotDeck benchmark; if conversion comes in at 0.4% rather than 0.6%, Y1 Pro revenue is ~$25K instead of $50K. Mitigation: lean into Team plans (higher ACV, lower churn) and education plans (institutional, multi-seat). Test annual-only at $89/yr if monthly churn is the blocker.</w:t>
      </w:r>
    </w:p>
    <w:p>
      <w:pPr>
        <w:pStyle w:val="Heading3"/>
        <w:spacing w:after="80" w:before="200"/>
      </w:pPr>
      <w:r>
        <w:rPr>
          <w:rFonts w:ascii="Calibri" w:cs="Calibri" w:eastAsia="Calibri" w:hAnsi="Calibri"/>
          <w:b/>
          <w:bCs/>
          <w:color w:val="8A6A2E"/>
          <w:sz w:val="24"/>
          <w:szCs w:val="24"/>
        </w:rPr>
        <w:t xml:space="preserve">Risk 3 — Major rental houses decline partnership</w:t>
      </w:r>
    </w:p>
    <w:p>
      <w:pPr>
        <w:spacing w:after="120" w:before="0"/>
      </w:pPr>
      <w:r>
        <w:rPr>
          <w:rFonts w:ascii="Calibri" w:cs="Calibri" w:eastAsia="Calibri" w:hAnsi="Calibri"/>
          <w:b w:val="false"/>
          <w:bCs w:val="false"/>
          <w:i w:val="false"/>
          <w:iCs w:val="false"/>
          <w:sz w:val="22"/>
          <w:szCs w:val="22"/>
        </w:rPr>
        <w:t xml:space="preserve">Keslow, Panavision, Otto Nemenz, and the other top tier may not see CineCanon as worth a custom referral deal in Year 1. Mitigation: start with KitSplit/ShareGrid (frictionless, public-ish), establish revenue, then approach the majors with proof.</w:t>
      </w:r>
    </w:p>
    <w:p>
      <w:pPr>
        <w:pStyle w:val="Heading3"/>
        <w:spacing w:after="80" w:before="200"/>
      </w:pPr>
      <w:r>
        <w:rPr>
          <w:rFonts w:ascii="Calibri" w:cs="Calibri" w:eastAsia="Calibri" w:hAnsi="Calibri"/>
          <w:b/>
          <w:bCs/>
          <w:color w:val="8A6A2E"/>
          <w:sz w:val="24"/>
          <w:szCs w:val="24"/>
        </w:rPr>
        <w:t xml:space="preserve">Risk 4 — LLM disintermediation</w:t>
      </w:r>
    </w:p>
    <w:p>
      <w:pPr>
        <w:spacing w:after="120" w:before="0"/>
      </w:pPr>
      <w:r>
        <w:rPr>
          <w:rFonts w:ascii="Calibri" w:cs="Calibri" w:eastAsia="Calibri" w:hAnsi="Calibri"/>
          <w:b w:val="false"/>
          <w:bCs w:val="false"/>
          <w:i w:val="false"/>
          <w:iCs w:val="false"/>
          <w:sz w:val="22"/>
          <w:szCs w:val="22"/>
        </w:rPr>
        <w:t xml:space="preserve">If Perplexity/ChatGPT/Claude answer cinematography questions inline without sending traffic, the top of the funnel shrinks. Counter-position: CineCanon is exactly what those LLMs cite (sourced, primary-evidence). Build the commercial LLM corpus license as the response — turn disintermediation into a B2B line. Also: pros click through to verify on a primary source; the citation surface preserves a portion of the click traffic.</w:t>
      </w:r>
    </w:p>
    <w:p>
      <w:pPr>
        <w:pStyle w:val="Heading3"/>
        <w:spacing w:after="80" w:before="200"/>
      </w:pPr>
      <w:r>
        <w:rPr>
          <w:rFonts w:ascii="Calibri" w:cs="Calibri" w:eastAsia="Calibri" w:hAnsi="Calibri"/>
          <w:b/>
          <w:bCs/>
          <w:color w:val="8A6A2E"/>
          <w:sz w:val="24"/>
          <w:szCs w:val="24"/>
        </w:rPr>
        <w:t xml:space="preserve">Risk 5 — Founder bandwidth on sponsor sales</w:t>
      </w:r>
    </w:p>
    <w:p>
      <w:pPr>
        <w:spacing w:after="120" w:before="0"/>
      </w:pPr>
      <w:r>
        <w:rPr>
          <w:rFonts w:ascii="Calibri" w:cs="Calibri" w:eastAsia="Calibri" w:hAnsi="Calibri"/>
          <w:b w:val="false"/>
          <w:bCs w:val="false"/>
          <w:i w:val="false"/>
          <w:iCs w:val="false"/>
          <w:sz w:val="22"/>
          <w:szCs w:val="22"/>
        </w:rPr>
        <w:t xml:space="preserve">Sponsor sales is a multi-quarter relationship sport with marketing directors at gear manufacturers. Mitigation: hire a contract sales rep (10% commission) by Month 6; budget for Cine Gear Expo, NAB, and IBC attendance Year 1.</w:t>
      </w:r>
    </w:p>
    <w:p>
      <w:r>
        <w:br w:type="page"/>
      </w:r>
    </w:p>
    <w:p>
      <w:pPr>
        <w:pStyle w:val="Heading1"/>
        <w:pBdr>
          <w:bottom w:val="single" w:color="8A6A2E" w:sz="6" w:space="6"/>
        </w:pBdr>
        <w:spacing w:after="180" w:before="360"/>
      </w:pPr>
      <w:r>
        <w:rPr>
          <w:rFonts w:ascii="Calibri" w:cs="Calibri" w:eastAsia="Calibri" w:hAnsi="Calibri"/>
          <w:b/>
          <w:bCs/>
          <w:color w:val="111111"/>
          <w:sz w:val="36"/>
          <w:szCs w:val="36"/>
        </w:rPr>
        <w:t xml:space="preserve">9. Why CineCanon Wins</w:t>
      </w:r>
    </w:p>
    <w:p>
      <w:pPr>
        <w:spacing w:after="160" w:before="0"/>
      </w:pPr>
      <w:r>
        <w:rPr>
          <w:rFonts w:ascii="Calibri" w:cs="Calibri" w:eastAsia="Calibri" w:hAnsi="Calibri"/>
          <w:b w:val="false"/>
          <w:bCs w:val="false"/>
          <w:i w:val="false"/>
          <w:iCs w:val="false"/>
          <w:sz w:val="22"/>
          <w:szCs w:val="22"/>
        </w:rPr>
        <w:t xml:space="preserve">Most cinematography publications monetize the wrong asset. They sell attention via display ads, sponsored posts, and content marketing, which slowly erodes the editorial voice that built the audience in the first place. The British Cinematographer / American Cinematographer model is one example; the algorithmic YouTube cinematography model is another. Both produce flat or declining trust per visit.</w:t>
      </w:r>
    </w:p>
    <w:p>
      <w:pPr>
        <w:spacing w:after="160" w:before="0"/>
      </w:pPr>
      <w:r>
        <w:rPr>
          <w:rFonts w:ascii="Calibri" w:cs="Calibri" w:eastAsia="Calibri" w:hAnsi="Calibri"/>
          <w:b w:val="false"/>
          <w:bCs w:val="false"/>
          <w:i w:val="false"/>
          <w:iCs w:val="false"/>
          <w:sz w:val="22"/>
          <w:szCs w:val="22"/>
        </w:rPr>
        <w:t xml:space="preserve">CineCanon's monetization should monetize the right asset: trust and intent. The site is the only one in this vertical with primary-source citations on every claim, a working-tool surface (loadout planner, ACES picker, CDL parser, frame-line overlay, sensor coverage), and an LLM-native architecture (llms.txt + JSON-LD + structured API). Each of those is a moat. Each pillar in this plan converts one moat into revenue without spending it down.</w:t>
      </w:r>
    </w:p>
    <w:p>
      <w:pPr>
        <w:pBdr>
          <w:left w:val="single" w:color="8A6A2E" w:sz="18" w:space="12"/>
        </w:pBdr>
        <w:spacing w:after="200" w:before="200"/>
        <w:ind w:left="360" w:right="360"/>
      </w:pPr>
      <w:r>
        <w:rPr>
          <w:rFonts w:ascii="Calibri" w:cs="Calibri" w:eastAsia="Calibri" w:hAnsi="Calibri"/>
          <w:i/>
          <w:iCs/>
          <w:color w:val="333333"/>
          <w:sz w:val="24"/>
          <w:szCs w:val="24"/>
        </w:rPr>
        <w:t xml:space="preserve">"This is a SaaS-shaped business hiding inside a reference site, with a brand defensibility most SaaS companies never get. Five years of disciplined execution and CineCanon becomes the canonical, paid-tier-but-mostly-free, AI-cited, professionally-trusted source for production-craft knowledge. That is a $20M ARR business."</w:t>
      </w:r>
    </w:p>
    <w:p>
      <w:pPr>
        <w:pStyle w:val="Heading2"/>
        <w:spacing w:after="120" w:before="280"/>
      </w:pPr>
      <w:r>
        <w:rPr>
          <w:rFonts w:ascii="Calibri" w:cs="Calibri" w:eastAsia="Calibri" w:hAnsi="Calibri"/>
          <w:b/>
          <w:bCs/>
          <w:color w:val="111111"/>
          <w:sz w:val="28"/>
          <w:szCs w:val="28"/>
        </w:rPr>
        <w:t xml:space="preserve">Recommended next step</w:t>
      </w:r>
    </w:p>
    <w:p>
      <w:pPr>
        <w:spacing w:after="120" w:before="0"/>
      </w:pPr>
      <w:r>
        <w:rPr>
          <w:rFonts w:ascii="Calibri" w:cs="Calibri" w:eastAsia="Calibri" w:hAnsi="Calibri"/>
          <w:b w:val="false"/>
          <w:bCs w:val="false"/>
          <w:i w:val="false"/>
          <w:iCs w:val="false"/>
          <w:sz w:val="22"/>
          <w:szCs w:val="22"/>
        </w:rPr>
        <w:t xml:space="preserve">Approve Phase 1 (Months 1–3). Total cost: ~$30K in incremental engineering + sales kit production. Outcome: affiliate revenue live in 60 days, Pro closed beta in 90 days, first sponsor LOI signed by Month 4. Decision point at end of Phase 1: continue at planned cadence, accelerate, or pause based on closed-beta NPS and affiliate conversion.</w:t>
      </w:r>
    </w:p>
    <w:p>
      <w:r>
        <w:br w:type="page"/>
      </w:r>
    </w:p>
    <w:p>
      <w:pPr>
        <w:pStyle w:val="Heading1"/>
        <w:pBdr>
          <w:bottom w:val="single" w:color="8A6A2E" w:sz="6" w:space="6"/>
        </w:pBdr>
        <w:spacing w:after="180" w:before="360"/>
      </w:pPr>
      <w:r>
        <w:rPr>
          <w:rFonts w:ascii="Calibri" w:cs="Calibri" w:eastAsia="Calibri" w:hAnsi="Calibri"/>
          <w:b/>
          <w:bCs/>
          <w:color w:val="111111"/>
          <w:sz w:val="36"/>
          <w:szCs w:val="36"/>
        </w:rPr>
        <w:t xml:space="preserve">Appendix — Market Benchmarks &amp; Sources</w:t>
      </w:r>
    </w:p>
    <w:p>
      <w:pPr>
        <w:pStyle w:val="Heading2"/>
        <w:spacing w:after="120" w:before="280"/>
      </w:pPr>
      <w:r>
        <w:rPr>
          <w:rFonts w:ascii="Calibri" w:cs="Calibri" w:eastAsia="Calibri" w:hAnsi="Calibri"/>
          <w:b/>
          <w:bCs/>
          <w:color w:val="111111"/>
          <w:sz w:val="28"/>
          <w:szCs w:val="28"/>
        </w:rPr>
        <w:t xml:space="preserve">Audience size</w:t>
      </w:r>
    </w:p>
    <w:p>
      <w:pPr>
        <w:pStyle w:val="ListParagraph"/>
        <w:numPr>
          <w:ilvl w:val="0"/>
          <w:numId w:val="2"/>
        </w:numPr>
        <w:spacing w:after="80"/>
      </w:pPr>
      <w:r>
        <w:rPr>
          <w:rFonts w:ascii="Calibri" w:cs="Calibri" w:eastAsia="Calibri" w:hAnsi="Calibri"/>
          <w:sz w:val="22"/>
          <w:szCs w:val="22"/>
        </w:rPr>
        <w:t xml:space="preserve">ICG (IATSE Local 600): ~8,400 members. </w:t>
      </w:r>
      <w:r>
        <w:rPr>
          <w:rFonts w:ascii="Calibri" w:cs="Calibri" w:eastAsia="Calibri" w:hAnsi="Calibri"/>
          <w:sz w:val="22"/>
          <w:szCs w:val="22"/>
        </w:rPr>
      </w:r>
    </w:p>
    <w:p>
      <w:pPr>
        <w:pStyle w:val="Heading2"/>
        <w:spacing w:after="120" w:before="280"/>
      </w:pPr>
      <w:r>
        <w:rPr>
          <w:rFonts w:ascii="Calibri" w:cs="Calibri" w:eastAsia="Calibri" w:hAnsi="Calibri"/>
          <w:b/>
          <w:bCs/>
          <w:color w:val="111111"/>
          <w:sz w:val="28"/>
          <w:szCs w:val="28"/>
        </w:rPr>
        <w:t xml:space="preserve">Subscription benchmarks</w:t>
      </w:r>
    </w:p>
    <w:p>
      <w:pPr>
        <w:pStyle w:val="ListParagraph"/>
        <w:numPr>
          <w:ilvl w:val="0"/>
          <w:numId w:val="2"/>
        </w:numPr>
        <w:spacing w:after="80"/>
      </w:pPr>
      <w:r>
        <w:rPr>
          <w:rFonts w:ascii="Calibri" w:cs="Calibri" w:eastAsia="Calibri" w:hAnsi="Calibri"/>
          <w:sz w:val="22"/>
          <w:szCs w:val="22"/>
        </w:rPr>
        <w:t xml:space="preserve">ShotDeck: $12.95/mo, $99.95/yr (cinematographer reference subscription founded by Lawrence Sher ASC). </w:t>
      </w:r>
      <w:r>
        <w:rPr>
          <w:rFonts w:ascii="Calibri" w:cs="Calibri" w:eastAsia="Calibri" w:hAnsi="Calibri"/>
          <w:sz w:val="22"/>
          <w:szCs w:val="22"/>
        </w:rPr>
      </w:r>
    </w:p>
    <w:p>
      <w:pPr>
        <w:pStyle w:val="ListParagraph"/>
        <w:numPr>
          <w:ilvl w:val="0"/>
          <w:numId w:val="2"/>
        </w:numPr>
        <w:spacing w:after="80"/>
      </w:pPr>
      <w:r>
        <w:rPr>
          <w:rFonts w:ascii="Calibri" w:cs="Calibri" w:eastAsia="Calibri" w:hAnsi="Calibri"/>
          <w:sz w:val="22"/>
          <w:szCs w:val="22"/>
        </w:rPr>
        <w:t xml:space="preserve">MZed Pro: $349/yr standard, $199/yr renewal, $49/mo monthly. </w:t>
      </w:r>
      <w:r>
        <w:rPr>
          <w:rFonts w:ascii="Calibri" w:cs="Calibri" w:eastAsia="Calibri" w:hAnsi="Calibri"/>
          <w:sz w:val="22"/>
          <w:szCs w:val="22"/>
        </w:rPr>
      </w:r>
    </w:p>
    <w:p>
      <w:pPr>
        <w:pStyle w:val="Heading2"/>
        <w:spacing w:after="120" w:before="280"/>
      </w:pPr>
      <w:r>
        <w:rPr>
          <w:rFonts w:ascii="Calibri" w:cs="Calibri" w:eastAsia="Calibri" w:hAnsi="Calibri"/>
          <w:b/>
          <w:bCs/>
          <w:color w:val="111111"/>
          <w:sz w:val="28"/>
          <w:szCs w:val="28"/>
        </w:rPr>
        <w:t xml:space="preserve">Affiliate benchmarks</w:t>
      </w:r>
    </w:p>
    <w:p>
      <w:pPr>
        <w:pStyle w:val="ListParagraph"/>
        <w:numPr>
          <w:ilvl w:val="0"/>
          <w:numId w:val="2"/>
        </w:numPr>
        <w:spacing w:after="80"/>
      </w:pPr>
      <w:r>
        <w:rPr>
          <w:rFonts w:ascii="Calibri" w:cs="Calibri" w:eastAsia="Calibri" w:hAnsi="Calibri"/>
          <w:sz w:val="22"/>
          <w:szCs w:val="22"/>
        </w:rPr>
        <w:t xml:space="preserve">B&amp;H Photo affiliate program: 2–8% commission, 60-day cookie. </w:t>
      </w:r>
      <w:r>
        <w:rPr>
          <w:rFonts w:ascii="Calibri" w:cs="Calibri" w:eastAsia="Calibri" w:hAnsi="Calibri"/>
          <w:sz w:val="22"/>
          <w:szCs w:val="22"/>
        </w:rPr>
      </w:r>
    </w:p>
    <w:p>
      <w:pPr>
        <w:pStyle w:val="ListParagraph"/>
        <w:numPr>
          <w:ilvl w:val="0"/>
          <w:numId w:val="2"/>
        </w:numPr>
        <w:spacing w:after="80"/>
      </w:pPr>
      <w:r>
        <w:rPr>
          <w:rFonts w:ascii="Calibri" w:cs="Calibri" w:eastAsia="Calibri" w:hAnsi="Calibri"/>
          <w:sz w:val="22"/>
          <w:szCs w:val="22"/>
        </w:rPr>
        <w:t xml:space="preserve">ShareGrid / KitSplit: $20 referral credit per signup; no public affiliate network — custom partnership required. </w:t>
      </w:r>
      <w:r>
        <w:rPr>
          <w:rFonts w:ascii="Calibri" w:cs="Calibri" w:eastAsia="Calibri" w:hAnsi="Calibri"/>
          <w:sz w:val="22"/>
          <w:szCs w:val="22"/>
        </w:rPr>
      </w:r>
    </w:p>
    <w:p>
      <w:pPr>
        <w:pStyle w:val="Heading2"/>
        <w:spacing w:after="120" w:before="280"/>
      </w:pPr>
      <w:r>
        <w:rPr>
          <w:rFonts w:ascii="Calibri" w:cs="Calibri" w:eastAsia="Calibri" w:hAnsi="Calibri"/>
          <w:b/>
          <w:bCs/>
          <w:color w:val="111111"/>
          <w:sz w:val="28"/>
          <w:szCs w:val="28"/>
        </w:rPr>
        <w:t xml:space="preserve">Sponsorship precedents in cinematography</w:t>
      </w:r>
    </w:p>
    <w:p>
      <w:pPr>
        <w:pStyle w:val="ListParagraph"/>
        <w:numPr>
          <w:ilvl w:val="0"/>
          <w:numId w:val="2"/>
        </w:numPr>
        <w:spacing w:after="80"/>
      </w:pPr>
      <w:r>
        <w:rPr>
          <w:rFonts w:ascii="Calibri" w:cs="Calibri" w:eastAsia="Calibri" w:hAnsi="Calibri"/>
          <w:sz w:val="22"/>
          <w:szCs w:val="22"/>
        </w:rPr>
        <w:t xml:space="preserve">Aputure Creator Network — established cinematographer partnership pattern (CSC partnership, Light This Location with RED). </w:t>
      </w:r>
      <w:r>
        <w:rPr>
          <w:rFonts w:ascii="Calibri" w:cs="Calibri" w:eastAsia="Calibri" w:hAnsi="Calibri"/>
          <w:sz w:val="22"/>
          <w:szCs w:val="22"/>
        </w:rPr>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666666"/>
        <w:sz w:val="18"/>
        <w:szCs w:val="18"/>
      </w:rPr>
      <w:t xml:space="preserve">CineCanon — Monetization Strategy</w:t>
    </w:r>
    <w:r>
      <w:rPr>
        <w:rFonts w:ascii="Calibri" w:cs="Calibri" w:eastAsia="Calibri" w:hAnsi="Calibri"/>
        <w:color w:val="666666"/>
        <w:sz w:val="18"/>
        <w:szCs w:val="18"/>
      </w:rPr>
      <w:t xml:space="preserve">	Confidential draft, May 17,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11111"/>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11111"/>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8A6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CineCanon Monetization Strategy</dc:title>
  <dc:creator>CineCanon</dc:creator>
  <dc:description>Five-pillar revenue plan with phased rollout and 36-month financials</dc:description>
  <cp:lastModifiedBy>Un-named</cp:lastModifiedBy>
  <cp:revision>1</cp:revision>
  <dcterms:created xsi:type="dcterms:W3CDTF">2026-05-17T15:28:03.988Z</dcterms:created>
  <dcterms:modified xsi:type="dcterms:W3CDTF">2026-05-17T15:28:03.989Z</dcterms:modified>
</cp:coreProperties>
</file>

<file path=docProps/custom.xml><?xml version="1.0" encoding="utf-8"?>
<Properties xmlns="http://schemas.openxmlformats.org/officeDocument/2006/custom-properties" xmlns:vt="http://schemas.openxmlformats.org/officeDocument/2006/docPropsVTypes"/>
</file>