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A5F"/>
          <w:spacing w:val="80"/>
          <w:sz w:val="56"/>
          <w:szCs w:val="56"/>
        </w:rPr>
        <w:t>JEAN-JACQUES BOILEAU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595959"/>
          <w:spacing w:val="20"/>
          <w:sz w:val="20"/>
          <w:szCs w:val="20"/>
        </w:rPr>
        <w:t>Revenue Leadership  •  Enterprise IT Solutions  •  Go-to-Market Strategy</w:t>
      </w:r>
    </w:p>
    <w:p>
      <w:pPr>
        <w:pBdr>
          <w:bottom w:val="single" w:color="1F3A5F" w:sz="12" w:space="8"/>
        </w:pBdr>
        <w:spacing w:after="80" w:before="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>Montréal, QC  H9S 4Z3   ●   (514) 704-8917   ●   jeanjacquesboileau@gmail.com   ●   linkedin.com/in/JayBoileau</w:t>
      </w:r>
      <w:r>
        <w:rPr>
          <w:rFonts w:ascii="Calibri" w:cs="Calibri" w:eastAsia="Calibri" w:hAnsi="Calibri"/>
          <w:color w:val="C9A961"/>
          <w:sz w:val="20"/>
          <w:szCs w:val="20"/>
        </w:rPr>
      </w:r>
      <w:r>
        <w:rPr>
          <w:rFonts w:ascii="Calibri" w:cs="Calibri" w:eastAsia="Calibri" w:hAnsi="Calibri"/>
          <w:color w:val="333333"/>
          <w:sz w:val="20"/>
          <w:szCs w:val="20"/>
        </w:rPr>
      </w:r>
      <w:r>
        <w:rPr>
          <w:rFonts w:ascii="Calibri" w:cs="Calibri" w:eastAsia="Calibri" w:hAnsi="Calibri"/>
          <w:color w:val="C9A961"/>
          <w:sz w:val="20"/>
          <w:szCs w:val="20"/>
        </w:rPr>
      </w:r>
      <w:r>
        <w:rPr>
          <w:rFonts w:ascii="Calibri" w:cs="Calibri" w:eastAsia="Calibri" w:hAnsi="Calibri"/>
          <w:color w:val="333333"/>
          <w:sz w:val="20"/>
          <w:szCs w:val="20"/>
        </w:rPr>
      </w:r>
      <w:r>
        <w:rPr>
          <w:rFonts w:ascii="Calibri" w:cs="Calibri" w:eastAsia="Calibri" w:hAnsi="Calibri"/>
          <w:color w:val="C9A961"/>
          <w:sz w:val="20"/>
          <w:szCs w:val="20"/>
        </w:rPr>
      </w:r>
      <w:r>
        <w:rPr>
          <w:rFonts w:ascii="Calibri" w:cs="Calibri" w:eastAsia="Calibri" w:hAnsi="Calibri"/>
          <w:color w:val="333333"/>
          <w:sz w:val="20"/>
          <w:szCs w:val="20"/>
        </w:rPr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>EXECUTIVE SUMMARY</w:t>
      </w:r>
    </w:p>
    <w:p>
      <w:pPr>
        <w:spacing w:after="100" w:before="120" w:line="3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>Commercially minded enterprise software and IT solutions leader with 15+ years of B2B sales leadership, go-to-market strategy, business automation, AI, and digital transformation experience across Canadian and global enterprises. Combines global revenue accountability at IBM—managing a $120M pipeline, delivering 105% quota attainment, and improving forecast accuracy by 20%—with deep technical pre-sales architecture and national IT infrastructure leadership. Known for aligning sales, technical, partner, and customer teams around consultative, outcome-driven selling, risk reduction, adoption, account expansion, and executive-level business value in English and French.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>CORE COMPETENCIES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Revenue Ownership &amp; Growth Strategy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B2B Enterprise Sales Leadership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Go-to-Market Strategy &amp; Sales Motions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Pipeline Generation, Forecasting &amp; Governance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New Business Development &amp; Account Expansion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r>
              <w:t>• Partner &amp; Channel Revenue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Consultative, Solution-Based Selling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C-Suite Executive Engagement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Complex Deal Architecture &amp; Negotiation Support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Customer Outcomes, Adoption &amp; Value Realization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Cross-Functional Revenue Team Leadership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Technical Pre-Sales &amp; Solution Architecture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Business Automation, AI &amp; Enterprise IT Solutions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Enterprise Content Management &amp; Information Governance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IT Infrastructure Deployment &amp; Service Alignment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Bilingual EN / FR Communication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</w:tc>
      </w:tr>
    </w:tbl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Global Sales Manager, Business Automation | IBM Corporation | 2021 — Present</w:t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Montréal, QC  •  IBM Business Automation Software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Drive global revenue growth across IBM’s Business Automation portfolio, including AI-driven workflow, content services, decisioning, and RPA, managing a $120M pipeline with 3% YoY growth and 105% quota attainment.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Architect go-to-market motions blending direct sell-to, sell-with, and sell-through models with strategic partners, expanding partner-sourced revenue by 5% across 5 territories.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Implement forecasting models, coverage optimization, and deal-governance practices that improved forecast accuracy by 20% and shortened average deal cycle by 30 days.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Lead seller enablement and territory planning across direct, technical, and partner teams, reducing new-hire ramp time and increasing per-rep productivity by 25%.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Deliver C-suite executive briefings and keynotes positioning IBM automation against competitive alternatives including UiPath, Automation Anywhere, and Microsoft, securing executive sponsorship in 3 enterprise accounts.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Refine consultative value propositions to demonstrate quantified ROI, risk reduction, and productivity gains, driving a 7–12% increase in average deal size.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Technical Pre-Sales Specialist — ECM &amp; Business Automation | IBM Corporation | 2015 — 2021</w:t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Montréal, QC  •  Canada-wide technical sales coverage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Owned technical sales strategy for Business Automation and ECM across Canada, partnering with sales leaders, channel partners, and enterprise customers to close $17M in TCV across 11 deals.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Led consultative discovery, Proof of Technology, and Proof of Concept engagements for complex enterprise opportunities and competitive-displacement scenarios, achieving an 85% PoC-to-close conversion rate.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Delivered bilingual English / French technical presentations to business, IT, and executive stakeholders across financial services, government, and Crown corporation accounts.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Enabled customer deployments and early-adoption phases, driving cross-sell and modernization opportunities that expanded existing accounts post-implementation.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Identified and developed new opportunities within the installed base, contributing $4M of partner-driven and direct expansion revenue annually.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Client Technical Image Owner &amp; Project Leader | Novartis Pharma Canada | 1998 — 2015</w:t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Montréal, QC  •  National client-environment authority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Owned Windows client image standards and technical-policy authority for 700–1,100+ employees nationwide across multiple platform generations from Windows XP to Windows 7 and Windows 8.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Led national hardware refresh, OS migration, and software deployment projects across Canada, managing cross-functional teams of 2–10 and project budgets of $30K–$1M across two regional offices supporting employees nationwide.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Presented technology roadmaps and national standards to the Country Infrastructure Manager, President, and executive leadership, securing approval and funding for multi-year client-environment strategy.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Resolved complex deployment escalations and enforced nationwide implementation consistency, reducing support-ticket volume and deployment defects by 50%.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Built bilingual English / French training programs and documentation that onboarded 500+ field sales representatives onto new technologies with 100% adoption.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Pioneered enterprise early adoption of Windows 7/8, SkyDrive, Lync, and iOS solutions, evaluating, piloting, and operationalizing technologies that became national deployment standards.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Corporate Systems Support &amp; QC Supervisor | IBM Canada | 1996 — 1998</w:t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Montréal, QC  •  IBM Authorized Service Centers — Canada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Established the Quality Control Supervisor role for IBM Authorized Service Centers across Canada from scratch, defining compliance protocols and monthly performance-reporting standards.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Enforced IBM repair and service protocols across the national service-center network, producing monthly performance reports and improvement recommendations adopted at HQ.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Researched corporate systems to identify defects and contributed fixes that improved repair quality and turnaround across Authorized Service Centers.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Built lab environment and delivered live phone support and troubleshooting for corporate hardware customers; authored technical documentation and trained new team members on IBM service standards.</w:t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>LANGUAGES</w:t>
      </w:r>
    </w:p>
    <w:p>
      <w:pPr>
        <w:tabs>
          <w:tab w:val="left" w:pos="3120"/>
          <w:tab w:val="left" w:pos="6240"/>
        </w:tabs>
        <w:spacing w:after="80" w:before="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>English  —  Native / Bilingual</w:t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8C8C8C"/>
        <w:sz w:val="16"/>
        <w:szCs w:val="16"/>
      </w:rPr>
      <w:t xml:space="preserve">Jean-Jacques Boileau  •  Enterprise Software Leadership  •  Montréal, QC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rFonts w:ascii="Calibri" w:cs="Calibri" w:eastAsia="Calibri" w:hAnsi="Calibri"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Jean-Jacques Boileau — Resume</dc:title>
  <dc:creator>Jean-Jacques Boileau</dc:creator>
  <cp:lastModifiedBy>Un-named</cp:lastModifiedBy>
  <cp:revision>1</cp:revision>
  <dcterms:created xsi:type="dcterms:W3CDTF">2026-05-13T16:15:15.567Z</dcterms:created>
  <dcterms:modified xsi:type="dcterms:W3CDTF">2026-05-13T16:15:15.581Z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