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3A5F"/>
          <w:spacing w:val="80"/>
          <w:sz w:val="56"/>
          <w:szCs w:val="56"/>
        </w:rPr>
        <w:t>JEAN-JACQUES BOILEAU</w:t>
      </w:r>
    </w:p>
    <w:p>
      <w:pPr>
        <w:spacing w:after="120" w:before="0"/>
        <w:jc w:val="center"/>
      </w:pPr>
      <w:r>
        <w:rPr>
          <w:rFonts w:ascii="Calibri" w:cs="Calibri" w:eastAsia="Calibri" w:hAnsi="Calibri"/>
          <w:i/>
          <w:iCs/>
          <w:color w:val="595959"/>
          <w:spacing w:val="20"/>
          <w:sz w:val="20"/>
          <w:szCs w:val="20"/>
        </w:rPr>
      </w:r>
    </w:p>
    <w:p>
      <w:pPr>
        <w:pBdr>
          <w:bottom w:val="single" w:color="1F3A5F" w:sz="12" w:space="8"/>
        </w:pBdr>
        <w:spacing w:after="80" w:before="0"/>
        <w:jc w:val="center"/>
      </w:pPr>
      <w:r>
        <w:rPr>
          <w:rFonts w:ascii="Calibri" w:cs="Calibri" w:eastAsia="Calibri" w:hAnsi="Calibri"/>
          <w:color w:val="333333"/>
          <w:sz w:val="20"/>
          <w:szCs w:val="20"/>
        </w:rPr>
      </w:r>
      <w:r>
        <w:rPr>
          <w:rFonts w:ascii="Calibri" w:cs="Calibri" w:eastAsia="Calibri" w:hAnsi="Calibri"/>
          <w:color w:val="C9A961"/>
          <w:sz w:val="20"/>
          <w:szCs w:val="20"/>
        </w:rPr>
      </w:r>
      <w:r>
        <w:rPr>
          <w:rFonts w:ascii="Calibri" w:cs="Calibri" w:eastAsia="Calibri" w:hAnsi="Calibri"/>
          <w:color w:val="333333"/>
          <w:sz w:val="20"/>
          <w:szCs w:val="20"/>
        </w:rPr>
      </w:r>
      <w:r>
        <w:rPr>
          <w:rFonts w:ascii="Calibri" w:cs="Calibri" w:eastAsia="Calibri" w:hAnsi="Calibri"/>
          <w:color w:val="C9A961"/>
          <w:sz w:val="20"/>
          <w:szCs w:val="20"/>
        </w:rPr>
      </w:r>
      <w:r>
        <w:rPr>
          <w:rFonts w:ascii="Calibri" w:cs="Calibri" w:eastAsia="Calibri" w:hAnsi="Calibri"/>
          <w:color w:val="333333"/>
          <w:sz w:val="20"/>
          <w:szCs w:val="20"/>
        </w:rPr>
      </w:r>
      <w:r>
        <w:rPr>
          <w:rFonts w:ascii="Calibri" w:cs="Calibri" w:eastAsia="Calibri" w:hAnsi="Calibri"/>
          <w:color w:val="C9A961"/>
          <w:sz w:val="20"/>
          <w:szCs w:val="20"/>
        </w:rPr>
      </w:r>
      <w:r>
        <w:rPr>
          <w:rFonts w:ascii="Calibri" w:cs="Calibri" w:eastAsia="Calibri" w:hAnsi="Calibri"/>
          <w:color w:val="333333"/>
          <w:sz w:val="20"/>
          <w:szCs w:val="20"/>
        </w:rPr>
      </w:r>
    </w:p>
    <w:p>
      <w:pPr>
        <w:pBdr>
          <w:bottom w:val="single" w:color="1F3A5F" w:sz="8" w:space="4"/>
        </w:pBdr>
        <w:spacing w:after="120" w:before="280"/>
      </w:pPr>
      <w:r>
        <w:rPr>
          <w:rFonts w:ascii="Calibri" w:cs="Calibri" w:eastAsia="Calibri" w:hAnsi="Calibri"/>
          <w:b/>
          <w:bCs/>
          <w:color w:val="1F3A5F"/>
          <w:spacing w:val="40"/>
          <w:sz w:val="24"/>
          <w:szCs w:val="24"/>
        </w:rPr>
        <w:t>EXECUTIVE SUMMARY</w:t>
      </w:r>
    </w:p>
    <w:p>
      <w:pPr>
        <w:spacing w:after="100" w:before="120" w:line="300"/>
        <w:jc w:val="both"/>
      </w:pPr>
      <w:r>
        <w:rPr>
          <w:rFonts w:ascii="Calibri" w:cs="Calibri" w:eastAsia="Calibri" w:hAnsi="Calibri"/>
          <w:color w:val="333333"/>
          <w:sz w:val="21"/>
          <w:szCs w:val="21"/>
        </w:rPr>
        <w:t>Results-driven enterprise sales leader with 15+ years of experience scaling complex B2B SaaS sales motions across Canadian and global markets. Proven track record leading high-performing teams in long-cycle, multi-stakeholder deals—closing $17M+ in TCV while building disciplined sales processes grounded in discovery, qualification, and executive alignment. Expertise in driving team performance through coaching, pipeline inspection, and forecast discipline—delivering consistent quota attainment and improved deal quality. Skilled in leveraging AI and modern sales tools to enhance team productivity and execution. Fluent in English and French, with deep experience selling into finance, RevOps, sales operations, and IT organizations.</w:t>
      </w:r>
      <w:r>
        <w:rPr>
          <w:rFonts w:ascii="Calibri" w:cs="Calibri" w:eastAsia="Calibri" w:hAnsi="Calibri"/>
          <w:b/>
          <w:bCs/>
          <w:color w:val="1F3A5F"/>
          <w:sz w:val="21"/>
          <w:szCs w:val="21"/>
        </w:rPr>
      </w:r>
      <w:r>
        <w:rPr>
          <w:rFonts w:ascii="Calibri" w:cs="Calibri" w:eastAsia="Calibri" w:hAnsi="Calibri"/>
          <w:color w:val="333333"/>
          <w:sz w:val="21"/>
          <w:szCs w:val="21"/>
        </w:rPr>
      </w:r>
      <w:r>
        <w:rPr>
          <w:rFonts w:ascii="Calibri" w:cs="Calibri" w:eastAsia="Calibri" w:hAnsi="Calibri"/>
          <w:b/>
          <w:bCs/>
          <w:color w:val="333333"/>
          <w:sz w:val="21"/>
          <w:szCs w:val="21"/>
        </w:rPr>
      </w:r>
      <w:r>
        <w:rPr>
          <w:rFonts w:ascii="Calibri" w:cs="Calibri" w:eastAsia="Calibri" w:hAnsi="Calibri"/>
          <w:color w:val="333333"/>
          <w:sz w:val="21"/>
          <w:szCs w:val="21"/>
        </w:rPr>
      </w:r>
      <w:r>
        <w:rPr>
          <w:rFonts w:ascii="Calibri" w:cs="Calibri" w:eastAsia="Calibri" w:hAnsi="Calibri"/>
          <w:b/>
          <w:bCs/>
          <w:color w:val="1F3A5F"/>
          <w:sz w:val="21"/>
          <w:szCs w:val="21"/>
        </w:rPr>
      </w:r>
      <w:r>
        <w:rPr>
          <w:rFonts w:ascii="Calibri" w:cs="Calibri" w:eastAsia="Calibri" w:hAnsi="Calibri"/>
          <w:color w:val="333333"/>
          <w:sz w:val="21"/>
          <w:szCs w:val="21"/>
        </w:rPr>
      </w:r>
    </w:p>
    <w:p>
      <w:pPr>
        <w:pBdr>
          <w:bottom w:val="single" w:color="1F3A5F" w:sz="8" w:space="4"/>
        </w:pBdr>
        <w:spacing w:after="120" w:before="280"/>
      </w:pPr>
      <w:r>
        <w:rPr>
          <w:rFonts w:ascii="Calibri" w:cs="Calibri" w:eastAsia="Calibri" w:hAnsi="Calibri"/>
          <w:b/>
          <w:bCs/>
          <w:color w:val="1F3A5F"/>
          <w:spacing w:val="40"/>
          <w:sz w:val="24"/>
          <w:szCs w:val="24"/>
        </w:rPr>
        <w:t>CORE COMPETENCIES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30" w:before="30" w:line="260"/>
            </w:pPr>
            <w:r>
              <w:rPr>
                <w:rFonts w:ascii="Calibri" w:cs="Calibri" w:eastAsia="Calibri" w:hAnsi="Calibri"/>
                <w:b/>
                <w:bCs/>
                <w:color w:val="C9A961"/>
                <w:sz w:val="20"/>
                <w:szCs w:val="20"/>
              </w:rPr>
              <w:t>• Enterprise Sales Leadership &amp; Team Development</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t>• Complex Deal Architecture &amp; Executive Engagement</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t>• Pipeline Governance &amp; Forecast Accuracy</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t>• MEDDPICC Qualification &amp; Discovery Rigor</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r>
            <w:r>
              <w:rPr>
                <w:rFonts w:ascii="Calibri" w:cs="Calibri" w:eastAsia="Calibri" w:hAnsi="Calibri"/>
                <w:color w:val="333333"/>
                <w:sz w:val="20"/>
                <w:szCs w:val="20"/>
              </w:rPr>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30" w:before="30" w:line="260"/>
            </w:pPr>
            <w:r>
              <w:rPr>
                <w:rFonts w:ascii="Calibri" w:cs="Calibri" w:eastAsia="Calibri" w:hAnsi="Calibri"/>
                <w:b/>
                <w:bCs/>
                <w:color w:val="C9A961"/>
                <w:sz w:val="20"/>
                <w:szCs w:val="20"/>
              </w:rPr>
              <w:t>• Multithreading &amp; Stakeholder Management</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t>• AI-Forward Sales Execution &amp; Tooling</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t>• C-Suite Briefings &amp; Strategic Positioning</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t>• Partner &amp; Channel GTM Strategy</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r>
            <w:r>
              <w:rPr>
                <w:rFonts w:ascii="Calibri" w:cs="Calibri" w:eastAsia="Calibri" w:hAnsi="Calibri"/>
                <w:color w:val="333333"/>
                <w:sz w:val="20"/>
                <w:szCs w:val="20"/>
              </w:rPr>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30" w:before="30" w:line="260"/>
            </w:pPr>
            <w:r>
              <w:rPr>
                <w:rFonts w:ascii="Calibri" w:cs="Calibri" w:eastAsia="Calibri" w:hAnsi="Calibri"/>
                <w:b/>
                <w:bCs/>
                <w:color w:val="C9A961"/>
                <w:sz w:val="20"/>
                <w:szCs w:val="20"/>
              </w:rPr>
              <w:t>• Sales Coaching &amp; Rep Development</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t>• Revenue Lifecycle &amp; Quote-to-Cash Architecture</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t>• Bilingual Communication (EN/FR)</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t>• CRM &amp; Analytics-Driven Performance Management</w:t>
            </w:r>
            <w:r>
              <w:rPr>
                <w:rFonts w:ascii="Calibri" w:cs="Calibri" w:eastAsia="Calibri" w:hAnsi="Calibri"/>
                <w:color w:val="333333"/>
                <w:sz w:val="20"/>
                <w:szCs w:val="20"/>
              </w:rPr>
            </w:r>
          </w:p>
          <w:p>
            <w:pPr>
              <w:spacing w:after="30" w:before="30" w:line="260"/>
            </w:pPr>
            <w:r>
              <w:rPr>
                <w:rFonts w:ascii="Calibri" w:cs="Calibri" w:eastAsia="Calibri" w:hAnsi="Calibri"/>
                <w:b/>
                <w:bCs/>
                <w:color w:val="C9A961"/>
                <w:sz w:val="20"/>
                <w:szCs w:val="20"/>
              </w:rPr>
            </w:r>
            <w:r>
              <w:rPr>
                <w:rFonts w:ascii="Calibri" w:cs="Calibri" w:eastAsia="Calibri" w:hAnsi="Calibri"/>
                <w:color w:val="333333"/>
                <w:sz w:val="20"/>
                <w:szCs w:val="20"/>
              </w:rPr>
            </w:r>
          </w:p>
        </w:tc>
      </w:tr>
    </w:tbl>
    <w:p>
      <w:pPr>
        <w:pBdr>
          <w:bottom w:val="single" w:color="1F3A5F" w:sz="8" w:space="4"/>
        </w:pBdr>
        <w:spacing w:after="120" w:before="280"/>
      </w:pPr>
      <w:r>
        <w:rPr>
          <w:rFonts w:ascii="Calibri" w:cs="Calibri" w:eastAsia="Calibri" w:hAnsi="Calibri"/>
          <w:b/>
          <w:bCs/>
          <w:color w:val="1F3A5F"/>
          <w:spacing w:val="40"/>
          <w:sz w:val="24"/>
          <w:szCs w:val="24"/>
        </w:rPr>
        <w:t>PROFESSIONAL EXPERIENCE</w:t>
      </w:r>
    </w:p>
    <w:p>
      <w:pPr>
        <w:tabs>
          <w:tab w:val="right" w:pos="9360"/>
        </w:tabs>
        <w:spacing w:after="20" w:before="160"/>
      </w:pPr>
      <w:r>
        <w:rPr>
          <w:rFonts w:ascii="Calibri" w:cs="Calibri" w:eastAsia="Calibri" w:hAnsi="Calibri"/>
          <w:b/>
          <w:bCs/>
          <w:color w:val="333333"/>
          <w:sz w:val="22"/>
          <w:szCs w:val="22"/>
        </w:rPr>
        <w:t>Global Sales Manager, Business Automation | IBM Corporation | 2021 — Present</w:t>
      </w:r>
      <w:r>
        <w:rPr>
          <w:rFonts w:ascii="Calibri" w:cs="Calibri" w:eastAsia="Calibri" w:hAnsi="Calibri"/>
          <w:color w:val="C9A961"/>
          <w:sz w:val="22"/>
          <w:szCs w:val="22"/>
        </w:rPr>
      </w:r>
      <w:r>
        <w:rPr>
          <w:rFonts w:ascii="Calibri" w:cs="Calibri" w:eastAsia="Calibri" w:hAnsi="Calibri"/>
          <w:color w:val="333333"/>
          <w:sz w:val="22"/>
          <w:szCs w:val="22"/>
        </w:rPr>
      </w:r>
      <w:r>
        <w:rPr>
          <w:sz w:val="22"/>
          <w:szCs w:val="22"/>
        </w:rPr>
      </w:r>
      <w:r>
        <w:rPr>
          <w:rFonts w:ascii="Calibri" w:cs="Calibri" w:eastAsia="Calibri" w:hAnsi="Calibri"/>
          <w:i/>
          <w:iCs/>
          <w:color w:val="595959"/>
          <w:sz w:val="20"/>
          <w:szCs w:val="20"/>
        </w:rPr>
      </w:r>
    </w:p>
    <w:p>
      <w:pPr>
        <w:spacing w:after="80" w:before="0"/>
      </w:pPr>
      <w:r>
        <w:rPr>
          <w:rFonts w:ascii="Calibri" w:cs="Calibri" w:eastAsia="Calibri" w:hAnsi="Calibri"/>
          <w:i/>
          <w:iCs/>
          <w:color w:val="595959"/>
          <w:sz w:val="18"/>
          <w:szCs w:val="18"/>
        </w:rPr>
        <w:t>• Led a $120M global business automation portfolio (AI, RPA, decisioning, ECM) with 3% YoY growth and 105% quota attainment, driving consistent team performance through coaching, inspection, and disciplined execution</w:t>
      </w:r>
    </w:p>
    <w:p>
      <w:pPr>
        <w:pStyle w:val="ListParagraph"/>
        <w:numPr>
          <w:ilvl w:val="0"/>
          <w:numId w:val="2"/>
        </w:numPr>
        <w:spacing w:after="40" w:before="40" w:line="280"/>
      </w:pPr>
      <w:r>
        <w:rPr>
          <w:rFonts w:ascii="Calibri" w:cs="Calibri" w:eastAsia="Calibri" w:hAnsi="Calibri"/>
          <w:color w:val="333333"/>
          <w:sz w:val="21"/>
          <w:szCs w:val="21"/>
        </w:rPr>
        <w:t>• Built and managed a high-performing team across direct, technical, and partner channels—reducing new-hire ramp time and increasing per-rep productivity by 25%</w:t>
      </w:r>
      <w:r>
        <w:rPr>
          <w:rFonts w:ascii="Calibri" w:cs="Calibri" w:eastAsia="Calibri" w:hAnsi="Calibri"/>
          <w:b/>
          <w:bCs/>
          <w:color w:val="1F3A5F"/>
          <w:sz w:val="21"/>
          <w:szCs w:val="21"/>
        </w:rPr>
      </w:r>
      <w:r>
        <w:rPr>
          <w:rFonts w:ascii="Calibri" w:cs="Calibri" w:eastAsia="Calibri" w:hAnsi="Calibri"/>
          <w:color w:val="333333"/>
          <w:sz w:val="21"/>
          <w:szCs w:val="21"/>
        </w:rPr>
      </w:r>
      <w:r>
        <w:rPr>
          <w:rFonts w:ascii="Calibri" w:cs="Calibri" w:eastAsia="Calibri" w:hAnsi="Calibri"/>
          <w:b/>
          <w:bCs/>
          <w:color w:val="1F3A5F"/>
          <w:sz w:val="21"/>
          <w:szCs w:val="21"/>
        </w:rPr>
      </w:r>
      <w:r>
        <w:rPr>
          <w:rFonts w:ascii="Calibri" w:cs="Calibri" w:eastAsia="Calibri" w:hAnsi="Calibri"/>
          <w:color w:val="333333"/>
          <w:sz w:val="21"/>
          <w:szCs w:val="21"/>
        </w:rPr>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Actively participated in deal reviews, qualification sessions, and late-stage strategy to maintain pipeline health and deal quality—improving forecast accuracy by 20% and shortening average deal cycle by 30 days</w:t>
      </w:r>
      <w:r>
        <w:rPr>
          <w:rFonts w:ascii="Calibri" w:cs="Calibri" w:eastAsia="Calibri" w:hAnsi="Calibri"/>
          <w:b/>
          <w:bCs/>
          <w:color w:val="1F3A5F"/>
          <w:sz w:val="21"/>
          <w:szCs w:val="21"/>
        </w:rPr>
      </w:r>
      <w:r>
        <w:rPr>
          <w:rFonts w:ascii="Calibri" w:cs="Calibri" w:eastAsia="Calibri" w:hAnsi="Calibri"/>
          <w:color w:val="333333"/>
          <w:sz w:val="21"/>
          <w:szCs w:val="21"/>
        </w:rPr>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Coached reps on discovery, MEDDPICC rigor, multithreading, executive engagement, and negotiation—enhancing team capability and deal execution quality</w:t>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Developed and implemented forecasting models, coverage optimization, and deal-governance practices that improved pipeline stage conversion and reduced noise in deal tracking</w:t>
      </w:r>
      <w:r>
        <w:rPr>
          <w:rFonts w:ascii="Calibri" w:cs="Calibri" w:eastAsia="Calibri" w:hAnsi="Calibri"/>
          <w:b/>
          <w:bCs/>
          <w:color w:val="1F3A5F"/>
          <w:sz w:val="21"/>
          <w:szCs w:val="21"/>
        </w:rPr>
      </w:r>
      <w:r>
        <w:rPr>
          <w:rFonts w:ascii="Calibri" w:cs="Calibri" w:eastAsia="Calibri" w:hAnsi="Calibri"/>
          <w:color w:val="333333"/>
          <w:sz w:val="21"/>
          <w:szCs w:val="21"/>
        </w:rPr>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Executed strategic GTM motions blending direct sell-to, sell-with, and sell-through models—expanding partner-sourced revenue by 5% across 5 territories</w:t>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Delivered C-suite executive briefings positioning IBM automation against competitive alternatives (UiPath, Automation Anywhere, Microsoft), securing executive sponsorship in 3 enterprise accounts</w:t>
      </w:r>
      <w:r>
        <w:rPr>
          <w:rFonts w:ascii="Calibri" w:cs="Calibri" w:eastAsia="Calibri" w:hAnsi="Calibri"/>
          <w:b/>
          <w:bCs/>
          <w:color w:val="1F3A5F"/>
          <w:sz w:val="21"/>
          <w:szCs w:val="21"/>
        </w:rPr>
      </w:r>
      <w:r>
        <w:rPr>
          <w:rFonts w:ascii="Calibri" w:cs="Calibri" w:eastAsia="Calibri" w:hAnsi="Calibri"/>
          <w:color w:val="333333"/>
          <w:sz w:val="21"/>
          <w:szCs w:val="21"/>
        </w:rPr>
      </w:r>
    </w:p>
    <w:p>
      <w:pPr>
        <w:tabs>
          <w:tab w:val="right" w:pos="9360"/>
        </w:tabs>
        <w:spacing w:after="20" w:before="160"/>
      </w:pPr>
      <w:r>
        <w:rPr>
          <w:rFonts w:ascii="Calibri" w:cs="Calibri" w:eastAsia="Calibri" w:hAnsi="Calibri"/>
          <w:b/>
          <w:bCs/>
          <w:color w:val="333333"/>
          <w:sz w:val="22"/>
          <w:szCs w:val="22"/>
        </w:rPr>
        <w:t>• Collaborated with Sales Engineering, Alliances, RevOps, and Product Marketing to refine sales processes and improve win rates through structured pipeline reviews and account planning</w:t>
      </w:r>
      <w:r>
        <w:rPr>
          <w:rFonts w:ascii="Calibri" w:cs="Calibri" w:eastAsia="Calibri" w:hAnsi="Calibri"/>
          <w:color w:val="C9A961"/>
          <w:sz w:val="22"/>
          <w:szCs w:val="22"/>
        </w:rPr>
      </w:r>
      <w:r>
        <w:rPr>
          <w:rFonts w:ascii="Calibri" w:cs="Calibri" w:eastAsia="Calibri" w:hAnsi="Calibri"/>
          <w:color w:val="333333"/>
          <w:sz w:val="22"/>
          <w:szCs w:val="22"/>
        </w:rPr>
      </w:r>
      <w:r>
        <w:rPr>
          <w:sz w:val="22"/>
          <w:szCs w:val="22"/>
        </w:rPr>
      </w:r>
      <w:r>
        <w:rPr>
          <w:rFonts w:ascii="Calibri" w:cs="Calibri" w:eastAsia="Calibri" w:hAnsi="Calibri"/>
          <w:i/>
          <w:iCs/>
          <w:color w:val="595959"/>
          <w:sz w:val="20"/>
          <w:szCs w:val="20"/>
        </w:rPr>
      </w:r>
    </w:p>
    <w:p>
      <w:pPr>
        <w:spacing w:after="80" w:before="0"/>
      </w:pPr>
      <w:r>
        <w:rPr>
          <w:rFonts w:ascii="Calibri" w:cs="Calibri" w:eastAsia="Calibri" w:hAnsi="Calibri"/>
          <w:i/>
          <w:iCs/>
          <w:color w:val="595959"/>
          <w:sz w:val="18"/>
          <w:szCs w:val="18"/>
        </w:rPr>
        <w:t>Technical Pre-Sales Specialist — ECM &amp; Business Automation | IBM Corporation | 2015 — 2021</w:t>
      </w:r>
    </w:p>
    <w:p>
      <w:pPr>
        <w:pStyle w:val="ListParagraph"/>
        <w:numPr>
          <w:ilvl w:val="0"/>
          <w:numId w:val="2"/>
        </w:numPr>
        <w:spacing w:after="40" w:before="40" w:line="280"/>
      </w:pPr>
      <w:r>
        <w:rPr>
          <w:rFonts w:ascii="Calibri" w:cs="Calibri" w:eastAsia="Calibri" w:hAnsi="Calibri"/>
          <w:color w:val="333333"/>
          <w:sz w:val="21"/>
          <w:szCs w:val="21"/>
        </w:rPr>
        <w:t>• Owned technical sales strategy for Business Automation and ECM across Canada, partnering with sales leaders, channel partners, and enterprise customers to close $17M in TCV across 11 deals</w:t>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Architected tailored solutions through discovery, Proof of Technology, and Proof of Concept engagements—achieving an 85% PoC-to-close conversion rate and demonstrating quantified ROI, risk reduction, and productivity gains</w:t>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Delivered bilingual (English / French) technical presentations to business, IT, and executive stakeholders across financial services, government, and Crown corporation accounts</w:t>
      </w:r>
    </w:p>
    <w:p>
      <w:pPr>
        <w:pStyle w:val="ListParagraph"/>
        <w:numPr>
          <w:ilvl w:val="0"/>
          <w:numId w:val="2"/>
        </w:numPr>
        <w:spacing w:after="40" w:before="40" w:line="280"/>
      </w:pPr>
      <w:r>
        <w:rPr>
          <w:rFonts w:ascii="Calibri" w:cs="Calibri" w:eastAsia="Calibri" w:hAnsi="Calibri"/>
          <w:color w:val="333333"/>
          <w:sz w:val="21"/>
          <w:szCs w:val="21"/>
        </w:rPr>
        <w:t>• Enabled customer deployments and early-adoption phases, driving cross-sell and modernization opportunities that expanded existing accounts post-implementation</w:t>
      </w:r>
    </w:p>
    <w:p>
      <w:pPr>
        <w:pStyle w:val="ListParagraph"/>
        <w:numPr>
          <w:ilvl w:val="0"/>
          <w:numId w:val="2"/>
        </w:numPr>
        <w:spacing w:after="40" w:before="40" w:line="280"/>
      </w:pPr>
      <w:r>
        <w:rPr>
          <w:rFonts w:ascii="Calibri" w:cs="Calibri" w:eastAsia="Calibri" w:hAnsi="Calibri"/>
          <w:color w:val="333333"/>
          <w:sz w:val="21"/>
          <w:szCs w:val="21"/>
        </w:rPr>
        <w:t>• Identified and developed new opportunities within the installed base, contributing $4M of partner-driven and direct expansion revenue annually</w:t>
      </w:r>
      <w:r>
        <w:rPr>
          <w:rFonts w:ascii="Calibri" w:cs="Calibri" w:eastAsia="Calibri" w:hAnsi="Calibri"/>
          <w:b/>
          <w:bCs/>
          <w:color w:val="1F3A5F"/>
          <w:sz w:val="21"/>
          <w:szCs w:val="21"/>
        </w:rPr>
      </w:r>
      <w:r>
        <w:rPr>
          <w:rFonts w:ascii="Calibri" w:cs="Calibri" w:eastAsia="Calibri" w:hAnsi="Calibri"/>
          <w:color w:val="333333"/>
          <w:sz w:val="21"/>
          <w:szCs w:val="21"/>
        </w:rPr>
      </w:r>
    </w:p>
    <w:p>
      <w:pPr>
        <w:tabs>
          <w:tab w:val="right" w:pos="9360"/>
        </w:tabs>
        <w:spacing w:after="20" w:before="160"/>
      </w:pPr>
      <w:r>
        <w:rPr>
          <w:rFonts w:ascii="Calibri" w:cs="Calibri" w:eastAsia="Calibri" w:hAnsi="Calibri"/>
          <w:b/>
          <w:bCs/>
          <w:color w:val="333333"/>
          <w:sz w:val="22"/>
          <w:szCs w:val="22"/>
        </w:rPr>
        <w:t>• Built and maintained strong relationships with CFO, RevOps, Sales Ops, and IT stakeholders—ensuring alignment and executive engagement throughout the sales cycle</w:t>
      </w:r>
      <w:r>
        <w:rPr>
          <w:rFonts w:ascii="Calibri" w:cs="Calibri" w:eastAsia="Calibri" w:hAnsi="Calibri"/>
          <w:color w:val="C9A961"/>
          <w:sz w:val="22"/>
          <w:szCs w:val="22"/>
        </w:rPr>
      </w:r>
      <w:r>
        <w:rPr>
          <w:rFonts w:ascii="Calibri" w:cs="Calibri" w:eastAsia="Calibri" w:hAnsi="Calibri"/>
          <w:color w:val="333333"/>
          <w:sz w:val="22"/>
          <w:szCs w:val="22"/>
        </w:rPr>
      </w:r>
      <w:r>
        <w:rPr>
          <w:sz w:val="22"/>
          <w:szCs w:val="22"/>
        </w:rPr>
      </w:r>
      <w:r>
        <w:rPr>
          <w:rFonts w:ascii="Calibri" w:cs="Calibri" w:eastAsia="Calibri" w:hAnsi="Calibri"/>
          <w:i/>
          <w:iCs/>
          <w:color w:val="595959"/>
          <w:sz w:val="20"/>
          <w:szCs w:val="20"/>
        </w:rPr>
      </w:r>
    </w:p>
    <w:p>
      <w:pPr>
        <w:spacing w:after="80" w:before="0"/>
      </w:pPr>
      <w:r>
        <w:rPr>
          <w:rFonts w:ascii="Calibri" w:cs="Calibri" w:eastAsia="Calibri" w:hAnsi="Calibri"/>
          <w:i/>
          <w:iCs/>
          <w:color w:val="595959"/>
          <w:sz w:val="18"/>
          <w:szCs w:val="18"/>
        </w:rPr>
        <w:t>Client Technical Image Owner &amp; Project Leader | Novartis Pharma Canada | 1998 — 2015</w:t>
      </w:r>
    </w:p>
    <w:p>
      <w:pPr>
        <w:pStyle w:val="ListParagraph"/>
        <w:numPr>
          <w:ilvl w:val="0"/>
          <w:numId w:val="2"/>
        </w:numPr>
        <w:spacing w:after="40" w:before="40" w:line="280"/>
      </w:pPr>
      <w:r>
        <w:rPr>
          <w:rFonts w:ascii="Calibri" w:cs="Calibri" w:eastAsia="Calibri" w:hAnsi="Calibri"/>
          <w:color w:val="333333"/>
          <w:sz w:val="21"/>
          <w:szCs w:val="21"/>
        </w:rPr>
        <w:t>• Owned Windows client image standards and technical-policy authority for 700–1,100+ employees nationwide across multiple platform generations (Windows XP → 7 → 8)</w:t>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Led national hardware refresh, OS migration, and software deployment projects across Canada—managing cross-functional teams of 2–10 and project budgets of $30K–$1M across two regional offices</w:t>
      </w:r>
      <w:r>
        <w:rPr>
          <w:rFonts w:ascii="Calibri" w:cs="Calibri" w:eastAsia="Calibri" w:hAnsi="Calibri"/>
          <w:b/>
          <w:bCs/>
          <w:color w:val="1F3A5F"/>
          <w:sz w:val="21"/>
          <w:szCs w:val="21"/>
        </w:rPr>
      </w:r>
      <w:r>
        <w:rPr>
          <w:rFonts w:ascii="Calibri" w:cs="Calibri" w:eastAsia="Calibri" w:hAnsi="Calibri"/>
          <w:color w:val="333333"/>
          <w:sz w:val="21"/>
          <w:szCs w:val="21"/>
        </w:rPr>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Presented technology roadmaps and national standards to executive leadership—securing approval and funding for multi-year client-environment strategy</w:t>
      </w:r>
    </w:p>
    <w:p>
      <w:pPr>
        <w:pStyle w:val="ListParagraph"/>
        <w:numPr>
          <w:ilvl w:val="0"/>
          <w:numId w:val="2"/>
        </w:numPr>
        <w:spacing w:after="40" w:before="40" w:line="280"/>
      </w:pPr>
      <w:r>
        <w:rPr>
          <w:rFonts w:ascii="Calibri" w:cs="Calibri" w:eastAsia="Calibri" w:hAnsi="Calibri"/>
          <w:color w:val="333333"/>
          <w:sz w:val="21"/>
          <w:szCs w:val="21"/>
        </w:rPr>
        <w:t>• Resolved complex deployment escalations and enforced nationwide implementation consistency, reducing support-ticket volume and deployment defects by 50%</w:t>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Built bilingual (English / French) training programs and documentation that onboarded 500+ field sales representatives onto new technologies with 100% adoption</w:t>
      </w:r>
      <w:r>
        <w:rPr>
          <w:rFonts w:ascii="Calibri" w:cs="Calibri" w:eastAsia="Calibri" w:hAnsi="Calibri"/>
          <w:b/>
          <w:bCs/>
          <w:color w:val="1F3A5F"/>
          <w:sz w:val="21"/>
          <w:szCs w:val="21"/>
        </w:rPr>
      </w:r>
      <w:r>
        <w:rPr>
          <w:rFonts w:ascii="Calibri" w:cs="Calibri" w:eastAsia="Calibri" w:hAnsi="Calibri"/>
          <w:color w:val="333333"/>
          <w:sz w:val="21"/>
          <w:szCs w:val="21"/>
        </w:rPr>
      </w:r>
      <w:r>
        <w:rPr>
          <w:rFonts w:ascii="Calibri" w:cs="Calibri" w:eastAsia="Calibri" w:hAnsi="Calibri"/>
          <w:b/>
          <w:bCs/>
          <w:color w:val="1F3A5F"/>
          <w:sz w:val="21"/>
          <w:szCs w:val="21"/>
        </w:rPr>
      </w:r>
      <w:r>
        <w:rPr>
          <w:rFonts w:ascii="Calibri" w:cs="Calibri" w:eastAsia="Calibri" w:hAnsi="Calibri"/>
          <w:color w:val="333333"/>
          <w:sz w:val="21"/>
          <w:szCs w:val="21"/>
        </w:rPr>
      </w:r>
    </w:p>
    <w:p>
      <w:pPr>
        <w:pStyle w:val="ListParagraph"/>
        <w:numPr>
          <w:ilvl w:val="0"/>
          <w:numId w:val="2"/>
        </w:numPr>
        <w:spacing w:after="40" w:before="40" w:line="280"/>
      </w:pPr>
      <w:r>
        <w:rPr>
          <w:rFonts w:ascii="Calibri" w:cs="Calibri" w:eastAsia="Calibri" w:hAnsi="Calibri"/>
          <w:color w:val="333333"/>
          <w:sz w:val="21"/>
          <w:szCs w:val="21"/>
        </w:rPr>
        <w:t>• Pioneered enterprise early adoption of Windows 7/8, SkyDrive, Lync, and iOS solutions—evaluating, piloting, and operationalizing technologies that became national deployment standards</w:t>
      </w:r>
    </w:p>
    <w:p>
      <w:pPr>
        <w:tabs>
          <w:tab w:val="right" w:pos="9360"/>
        </w:tabs>
        <w:spacing w:after="20" w:before="160"/>
      </w:pPr>
      <w:r>
        <w:rPr>
          <w:rFonts w:ascii="Calibri" w:cs="Calibri" w:eastAsia="Calibri" w:hAnsi="Calibri"/>
          <w:b/>
          <w:bCs/>
          <w:color w:val="333333"/>
          <w:sz w:val="22"/>
          <w:szCs w:val="22"/>
        </w:rPr>
        <w:t>Corporate Systems Support &amp; QC Supervisor | IBM Canada | 1996 — 1998</w:t>
      </w:r>
      <w:r>
        <w:rPr>
          <w:rFonts w:ascii="Calibri" w:cs="Calibri" w:eastAsia="Calibri" w:hAnsi="Calibri"/>
          <w:color w:val="C9A961"/>
          <w:sz w:val="22"/>
          <w:szCs w:val="22"/>
        </w:rPr>
      </w:r>
      <w:r>
        <w:rPr>
          <w:rFonts w:ascii="Calibri" w:cs="Calibri" w:eastAsia="Calibri" w:hAnsi="Calibri"/>
          <w:color w:val="333333"/>
          <w:sz w:val="22"/>
          <w:szCs w:val="22"/>
        </w:rPr>
      </w:r>
      <w:r>
        <w:rPr>
          <w:sz w:val="22"/>
          <w:szCs w:val="22"/>
        </w:rPr>
      </w:r>
      <w:r>
        <w:rPr>
          <w:rFonts w:ascii="Calibri" w:cs="Calibri" w:eastAsia="Calibri" w:hAnsi="Calibri"/>
          <w:i/>
          <w:iCs/>
          <w:color w:val="595959"/>
          <w:sz w:val="20"/>
          <w:szCs w:val="20"/>
        </w:rPr>
      </w:r>
    </w:p>
    <w:p>
      <w:pPr>
        <w:spacing w:after="80" w:before="0"/>
      </w:pPr>
      <w:r>
        <w:rPr>
          <w:rFonts w:ascii="Calibri" w:cs="Calibri" w:eastAsia="Calibri" w:hAnsi="Calibri"/>
          <w:i/>
          <w:iCs/>
          <w:color w:val="595959"/>
          <w:sz w:val="18"/>
          <w:szCs w:val="18"/>
        </w:rPr>
        <w:t>• Established the Quality Control Supervisor role for IBM Authorized Service Centers across Canada from scratch, defining compliance protocols and monthly performance-reporting standards</w:t>
      </w:r>
    </w:p>
    <w:p>
      <w:pPr>
        <w:pStyle w:val="ListParagraph"/>
        <w:numPr>
          <w:ilvl w:val="0"/>
          <w:numId w:val="2"/>
        </w:numPr>
        <w:spacing w:after="40" w:before="40" w:line="280"/>
      </w:pPr>
      <w:r>
        <w:rPr>
          <w:rFonts w:ascii="Calibri" w:cs="Calibri" w:eastAsia="Calibri" w:hAnsi="Calibri"/>
          <w:color w:val="333333"/>
          <w:sz w:val="21"/>
          <w:szCs w:val="21"/>
        </w:rPr>
        <w:t>• Enforced IBM repair and service protocols across the national service-center network—producing monthly performance reports and improvement recommendations adopted at HQ</w:t>
      </w:r>
    </w:p>
    <w:p>
      <w:pPr>
        <w:pStyle w:val="ListParagraph"/>
        <w:numPr>
          <w:ilvl w:val="0"/>
          <w:numId w:val="2"/>
        </w:numPr>
        <w:spacing w:after="40" w:before="40" w:line="280"/>
      </w:pPr>
      <w:r>
        <w:rPr>
          <w:rFonts w:ascii="Calibri" w:cs="Calibri" w:eastAsia="Calibri" w:hAnsi="Calibri"/>
          <w:color w:val="333333"/>
          <w:sz w:val="21"/>
          <w:szCs w:val="21"/>
        </w:rPr>
        <w:t>• Researched corporate systems to identify defects and contributed fixes that improved repair quality and turnaround across Authorized Service Centers</w:t>
      </w:r>
    </w:p>
    <w:p>
      <w:pPr>
        <w:pStyle w:val="ListParagraph"/>
        <w:numPr>
          <w:ilvl w:val="0"/>
          <w:numId w:val="2"/>
        </w:numPr>
        <w:spacing w:after="40" w:before="40" w:line="280"/>
      </w:pPr>
      <w:r>
        <w:rPr>
          <w:rFonts w:ascii="Calibri" w:cs="Calibri" w:eastAsia="Calibri" w:hAnsi="Calibri"/>
          <w:color w:val="333333"/>
          <w:sz w:val="21"/>
          <w:szCs w:val="21"/>
        </w:rPr>
        <w:t>• Built lab environment and delivered live phone support and troubleshooting for corporate hardware customers; authored technical documentation and trained new team members on IBM service standards</w:t>
      </w:r>
    </w:p>
    <w:p>
      <w:pPr>
        <w:pStyle w:val="ListParagraph"/>
        <w:numPr>
          <w:ilvl w:val="0"/>
          <w:numId w:val="2"/>
        </w:numPr>
        <w:spacing w:after="40" w:before="40" w:line="280"/>
      </w:pPr>
      <w:r>
        <w:rPr>
          <w:rFonts w:ascii="Calibri" w:cs="Calibri" w:eastAsia="Calibri" w:hAnsi="Calibri"/>
          <w:color w:val="333333"/>
          <w:sz w:val="21"/>
          <w:szCs w:val="21"/>
        </w:rPr>
      </w:r>
    </w:p>
    <w:p>
      <w:pPr>
        <w:pBdr>
          <w:bottom w:val="single" w:color="1F3A5F" w:sz="8" w:space="4"/>
        </w:pBdr>
        <w:spacing w:after="120" w:before="280"/>
      </w:pPr>
      <w:r>
        <w:rPr>
          <w:rFonts w:ascii="Calibri" w:cs="Calibri" w:eastAsia="Calibri" w:hAnsi="Calibri"/>
          <w:b/>
          <w:bCs/>
          <w:color w:val="1F3A5F"/>
          <w:spacing w:val="40"/>
          <w:sz w:val="24"/>
          <w:szCs w:val="24"/>
        </w:rPr>
        <w:t>LANGUAGES</w:t>
      </w:r>
    </w:p>
    <w:p>
      <w:pPr>
        <w:tabs>
          <w:tab w:val="left" w:pos="3120"/>
          <w:tab w:val="left" w:pos="6240"/>
        </w:tabs>
        <w:spacing w:after="80" w:before="80"/>
      </w:pPr>
      <w:r>
        <w:rPr>
          <w:rFonts w:ascii="Calibri" w:cs="Calibri" w:eastAsia="Calibri" w:hAnsi="Calibri"/>
          <w:b/>
          <w:bCs/>
          <w:color w:val="1F3A5F"/>
          <w:sz w:val="21"/>
          <w:szCs w:val="21"/>
        </w:rPr>
        <w:t>English — Native / Bilingual</w:t>
      </w:r>
      <w:r>
        <w:rPr>
          <w:rFonts w:ascii="Calibri" w:cs="Calibri" w:eastAsia="Calibri" w:hAnsi="Calibri"/>
          <w:color w:val="333333"/>
          <w:sz w:val="21"/>
          <w:szCs w:val="21"/>
        </w:rPr>
      </w:r>
      <w:r>
        <w:rPr>
          <w:sz w:val="21"/>
          <w:szCs w:val="21"/>
        </w:rPr>
      </w:r>
      <w:r>
        <w:rPr>
          <w:rFonts w:ascii="Calibri" w:cs="Calibri" w:eastAsia="Calibri" w:hAnsi="Calibri"/>
          <w:b/>
          <w:bCs/>
          <w:color w:val="1F3A5F"/>
          <w:sz w:val="21"/>
          <w:szCs w:val="21"/>
        </w:rPr>
      </w:r>
      <w:r>
        <w:rPr>
          <w:rFonts w:ascii="Calibri" w:cs="Calibri" w:eastAsia="Calibri" w:hAnsi="Calibri"/>
          <w:color w:val="333333"/>
          <w:sz w:val="21"/>
          <w:szCs w:val="21"/>
        </w:rPr>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8C8C8C"/>
        <w:sz w:val="16"/>
        <w:szCs w:val="16"/>
      </w:rPr>
      <w:t xml:space="preserve">Jean-Jacques Boileau  •  Enterprise Software Leadership  •  Montréal, QC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Jean-Jacques Boileau — Resume</dc:title>
  <dc:creator>Jean-Jacques Boileau</dc:creator>
  <cp:lastModifiedBy>Un-named</cp:lastModifiedBy>
  <cp:revision>1</cp:revision>
  <dcterms:created xsi:type="dcterms:W3CDTF">2026-05-13T16:15:15.567Z</dcterms:created>
  <dcterms:modified xsi:type="dcterms:W3CDTF">2026-05-13T16:15:15.581Z</dcterms:modified>
</cp:coreProperties>
</file>

<file path=docProps/custom.xml><?xml version="1.0" encoding="utf-8"?>
<Properties xmlns="http://schemas.openxmlformats.org/officeDocument/2006/custom-properties" xmlns:vt="http://schemas.openxmlformats.org/officeDocument/2006/docPropsVTypes"/>
</file>