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5F"/>
          <w:spacing w:val="80"/>
          <w:sz w:val="56"/>
          <w:szCs w:val="56"/>
        </w:rPr>
        <w:t>JEAN-JACQUES BOILEAU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595959"/>
          <w:spacing w:val="20"/>
          <w:sz w:val="20"/>
          <w:szCs w:val="20"/>
        </w:rPr>
        <w:t>Enterprise Software Leadership • Business Automation • Go-to-Market</w:t>
      </w:r>
    </w:p>
    <w:p>
      <w:pPr>
        <w:pBdr>
          <w:bottom w:val="single" w:color="1F3A5F" w:sz="12" w:space="8"/>
        </w:pBdr>
        <w:spacing w:after="80" w:before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>Montréal, QC H9S 4Z3 ● (514) 704-8917 ● jeanjacquesboileau@gmail.com ● linkedin.com/in/JayBoileau</w:t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  <w:r>
        <w:rPr>
          <w:rFonts w:ascii="Calibri" w:cs="Calibri" w:eastAsia="Calibri" w:hAnsi="Calibri"/>
          <w:color w:val="C9A961"/>
          <w:sz w:val="20"/>
          <w:szCs w:val="20"/>
        </w:rPr>
      </w:r>
      <w:r>
        <w:rPr>
          <w:rFonts w:ascii="Calibri" w:cs="Calibri" w:eastAsia="Calibri" w:hAnsi="Calibri"/>
          <w:color w:val="333333"/>
          <w:sz w:val="20"/>
          <w:szCs w:val="20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EXECUTIVE SUMMARY</w:t>
      </w:r>
    </w:p>
    <w:p>
      <w:pPr>
        <w:spacing w:after="100" w:before="120" w:line="300"/>
        <w:jc w:val="both"/>
      </w:pPr>
      <w:r>
        <w:rPr>
          <w:rFonts w:ascii="Calibri" w:cs="Calibri" w:eastAsia="Calibri" w:hAnsi="Calibri"/>
          <w:color w:val="333333"/>
          <w:sz w:val="21"/>
          <w:szCs w:val="21"/>
        </w:rPr>
        <w:t>Enterprise software leader with 15+ years scaling business automation, AI, and digital transformation across Canadian and global enterprises. Combine technical depth from pre-sales architecture with revenue accountability as a Global Sales Manager, translating complex AI, RPA, content services, and decisioning technology into C-suite business outcomes. Proven results leading global go-to-market execution, closing complex multi-stakeholder deals, managing a $120M pipeline, enabling partner and direct sales teams, and operating fluently in English and French across enterprise markets.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Enterprise Sales Leadership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Global Go-to-Market Strategy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C-Suite Executive Engagement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Complex Deal Architecture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Forecasting &amp; Pipeline Governance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Business Automation &amp; AI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WatsonX / AI Orchestration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Enterprise Content Management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RPA &amp; Decisioning Platforms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Information Governance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Partner &amp; Channel GTM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Sell-To / Sell-With / Sell-Through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Technical Pre-Sales &amp; Solutioning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Bilingual EN / FR Communication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  <w:p>
            <w:pPr>
              <w:spacing w:after="30" w:before="30" w:line="26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0"/>
                <w:szCs w:val="20"/>
              </w:rPr>
              <w:t>• Cross-Functional Team Leadership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</w:r>
          </w:p>
        </w:tc>
      </w:tr>
    </w:tbl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Global Sales Manager, Business Automation | IBM Corporation | 2021 — Present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IBM Business Automation Software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Drive global revenue growth across IBM’s Business Automation portfolio, including AI-driven workflow, content services, decisioning, and RPA, managing a $120M pipeline with 3% YoY growth and 105% quota attainment.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Architect go-to-market motions blending direct sell-to, sell-with, and sell-through models with strategic partners, expanding partner-sourced revenue by 5% across 5 territories.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Deliver C-suite executive briefings and keynotes positioning IBM automation against competitive alternatives including UiPath, Automation Anywhere, and Microsoft, securing executive sponsorship in 3 enterprise accounts.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Implement forecasting models, coverage optimization, and deal-governance practices that improved forecast accuracy by 20% and shortened average deal cycle by 30 days.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Lead seller enablement and territory planning across direct, technical, and partner teams, reducing new-hire ramp time and increasing per-rep productivity by 25%.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Refine value propositions to demonstrate quantified ROI, risk reduction, and productivity gains, driving a 7–12% increase in average deal size.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Technical Pre-Sales Specialist — ECM &amp; Business Automation | IBM Corporation | 2015 — 2021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Canada-wide technical sales coverage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Owned technical sales strategy for Business Automation and ECM across Canada, partnering with sales leaders, channel partners, and enterprise customers to close $17M in TCV across 11 deals.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Architected tailored solutions through discovery, Proof of Technology, and Proof of Concept engagements addressing competitive-displacement scenarios, achieving an 85% PoC-to-close conversion rate.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Delivered bilingual English / French technical presentations to business, IT, and executive stakeholders across financial services, government, and Crown corporation accounts.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Identified and developed new opportunities within the installed base, contributing $4M of partner-driven and direct expansion revenue annually.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Enabled customer deployments and early-adoption phases, driving cross-sell and modernization opportunities that expanded existing accounts post-implementation.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Client Technical Image Owner &amp; Project Leader | Novartis Pharma Canada | 1998 — 2015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National client-environment authority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Owned Windows client image standards and technical-policy authority for 700–1,100+ employees nationwide across multiple platform generations from Windows XP to Windows 7 and Windows 8.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Led national hardware refresh, OS migration, and software deployment projects across Canada, managing cross-functional teams of 2–10 and project budgets of $30K–$1M across two regional offices supporting employees nationwide.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Presented technology roadmaps and national standards to the Country Infrastructure Manager, President, and executive leadership, securing approval and funding for multi-year client-environment strategy.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Resolved complex deployment escalations and enforced nationwide implementation consistency, reducing support-ticket volume and deployment defects by 50%.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Built bilingual English / French training programs and documentation that onboarded 500+ field sales representatives onto new technologies with 100% adoption.</w:t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Pioneered enterprise early adoption of Windows 7/8, SkyDrive, Lync, and iOS solutions, evaluating, piloting, and operationalizing technologies that became national deployment standards.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Corporate Systems Support &amp; QC Supervisor | IBM Canada | 1996 — 1998</w:t>
      </w:r>
      <w:r>
        <w:rPr>
          <w:rFonts w:ascii="Calibri" w:cs="Calibri" w:eastAsia="Calibri" w:hAnsi="Calibri"/>
          <w:color w:val="C9A961"/>
          <w:sz w:val="22"/>
          <w:szCs w:val="22"/>
        </w:rPr>
      </w:r>
      <w:r>
        <w:rPr>
          <w:rFonts w:ascii="Calibri" w:cs="Calibri" w:eastAsia="Calibri" w:hAnsi="Calibri"/>
          <w:color w:val="333333"/>
          <w:sz w:val="22"/>
          <w:szCs w:val="22"/>
        </w:rPr>
      </w:r>
      <w:r>
        <w:rPr>
          <w:sz w:val="22"/>
          <w:szCs w:val="22"/>
        </w:rPr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>Montréal, QC • IBM Authorized Service Centers — Canada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Established the Quality Control Supervisor role for IBM Authorized Service Centers across Canada from scratch, defining compliance protocols and monthly performance-reporting standards.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Enforced IBM repair and service protocols across the national service-center network, producing monthly performance reports and improvement recommendations adopted at HQ.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Researched corporate systems to identify defects and contributed fixes that improved repair quality and turnaround across Authorized Service Centers.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>• Built lab environment and delivered live phone support and troubleshooting for corporate hardware customers; authored technical documentation and trained new team members on IBM service standards.</w:t>
      </w:r>
    </w:p>
    <w:p>
      <w:pPr>
        <w:pBdr>
          <w:bottom w:val="single" w:color="1F3A5F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A5F"/>
          <w:spacing w:val="40"/>
          <w:sz w:val="24"/>
          <w:szCs w:val="24"/>
        </w:rPr>
        <w:t>LANGUAGES</w:t>
      </w:r>
    </w:p>
    <w:p>
      <w:pPr>
        <w:tabs>
          <w:tab w:val="left" w:pos="3120"/>
          <w:tab w:val="left" w:pos="6240"/>
        </w:tabs>
        <w:spacing w:after="80" w:before="8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>English — Native / Bilingual</w:t>
      </w:r>
      <w:r>
        <w:rPr>
          <w:rFonts w:ascii="Calibri" w:cs="Calibri" w:eastAsia="Calibri" w:hAnsi="Calibri"/>
          <w:color w:val="333333"/>
          <w:sz w:val="21"/>
          <w:szCs w:val="21"/>
        </w:rPr>
      </w:r>
      <w:r>
        <w:rPr>
          <w:sz w:val="21"/>
          <w:szCs w:val="21"/>
        </w:rPr>
      </w: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</w:r>
      <w:r>
        <w:rPr>
          <w:rFonts w:ascii="Calibri" w:cs="Calibri" w:eastAsia="Calibri" w:hAnsi="Calibri"/>
          <w:color w:val="333333"/>
          <w:sz w:val="21"/>
          <w:szCs w:val="21"/>
        </w:rPr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8C8C8C"/>
        <w:sz w:val="16"/>
        <w:szCs w:val="16"/>
      </w:rPr>
      <w:t xml:space="preserve">Jean-Jacques Boileau  •  Enterprise Software Leadership  •  Montréal, QC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Calibri" w:cs="Calibri" w:eastAsia="Calibri" w:hAnsi="Calibri"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Jean-Jacques Boileau — Resume</dc:title>
  <dc:creator>Jean-Jacques Boileau</dc:creator>
  <cp:lastModifiedBy>Un-named</cp:lastModifiedBy>
  <cp:revision>1</cp:revision>
  <dcterms:created xsi:type="dcterms:W3CDTF">2026-05-13T16:15:15.567Z</dcterms:created>
  <dcterms:modified xsi:type="dcterms:W3CDTF">2026-05-13T16:15:15.581Z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