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Calibri" w:cs="Calibri" w:eastAsia="Calibri" w:hAnsi="Calibri"/>
          <w:sz w:val="22"/>
          <w:szCs w:val="22"/>
        </w:rPr>
        <w:t xml:space="preserve"/>
      </w:r>
    </w:p>
    <w:p>
      <w:pPr>
        <w:spacing w:after="200"/>
        <w:jc w:val="center"/>
      </w:pPr>
      <w:r>
        <w:rPr>
          <w:rFonts w:ascii="Calibri" w:cs="Calibri" w:eastAsia="Calibri" w:hAnsi="Calibri"/>
          <w:b/>
          <w:bCs/>
          <w:color w:val="0A2647"/>
          <w:spacing w:val="40"/>
          <w:sz w:val="36"/>
          <w:szCs w:val="36"/>
        </w:rPr>
        <w:t xml:space="preserve">SIMULATION SPECIFICATION DOCUMENT</w:t>
      </w:r>
    </w:p>
    <w:p>
      <w:pPr>
        <w:spacing w:after="100"/>
        <w:jc w:val="center"/>
      </w:pPr>
      <w:r>
        <w:rPr>
          <w:rFonts w:ascii="Calibri" w:cs="Calibri" w:eastAsia="Calibri" w:hAnsi="Calibri"/>
          <w:i/>
          <w:iCs/>
          <w:color w:val="2C74B3"/>
          <w:sz w:val="26"/>
          <w:szCs w:val="26"/>
        </w:rPr>
        <w:t xml:space="preserve">For ML/Computational Simulation of Hydrogen Adsorption</w:t>
      </w:r>
    </w:p>
    <w:p>
      <w:pPr>
        <w:spacing w:after="600"/>
        <w:jc w:val="center"/>
      </w:pPr>
      <w:r>
        <w:rPr>
          <w:rFonts w:ascii="Calibri" w:cs="Calibri" w:eastAsia="Calibri" w:hAnsi="Calibri"/>
          <w:i/>
          <w:iCs/>
          <w:color w:val="2C74B3"/>
          <w:sz w:val="26"/>
          <w:szCs w:val="26"/>
        </w:rPr>
        <w:t xml:space="preserve">in a Zeolite–Nano-AC Composite Physisorption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DOCUMENT INFORMATION</w:t>
            </w:r>
          </w:p>
        </w:tc>
        <w:tc>
          <w:tcPr>
            <w:tcW w:type="dxa" w:w="62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
            </w:r>
          </w:p>
        </w:tc>
      </w:tr>
      <w:tr>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Project Title</w:t>
            </w:r>
          </w:p>
        </w:tc>
        <w:tc>
          <w:tcPr>
            <w:tcW w:type="dxa" w:w="6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Design and Testing of a Prototype Physisorption Hydrogen Storage System Using Zeolites and Nano-Activated Carbon Composite</w:t>
            </w:r>
          </w:p>
        </w:tc>
      </w:tr>
      <w:tr>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Prepared by</w:t>
            </w:r>
          </w:p>
        </w:tc>
        <w:tc>
          <w:tcPr>
            <w:tcW w:type="dxa" w:w="6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Emmanuel Solomon-Eseh ("Snow")</w:t>
            </w:r>
          </w:p>
        </w:tc>
      </w:tr>
      <w:tr>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Department</w:t>
            </w:r>
          </w:p>
        </w:tc>
        <w:tc>
          <w:tcPr>
            <w:tcW w:type="dxa" w:w="6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Petroleum &amp; Gas Engineering, University of Lagos</w:t>
            </w:r>
          </w:p>
        </w:tc>
      </w:tr>
      <w:tr>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Drawing Reference</w:t>
            </w:r>
          </w:p>
        </w:tc>
        <w:tc>
          <w:tcPr>
            <w:tcW w:type="dxa" w:w="6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PID-ZHS-FAB-002, Rev C1</w:t>
            </w:r>
          </w:p>
        </w:tc>
      </w:tr>
      <w:tr>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Document Purpose</w:t>
            </w:r>
          </w:p>
        </w:tc>
        <w:tc>
          <w:tcPr>
            <w:tcW w:type="dxa" w:w="6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Complete specification for computational/ML simulation handoff</w:t>
            </w:r>
          </w:p>
        </w:tc>
      </w:tr>
      <w:tr>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Simulation Goal</w:t>
            </w:r>
          </w:p>
        </w:tc>
        <w:tc>
          <w:tcPr>
            <w:tcW w:type="dxa" w:w="6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Full performance comparison across all 8 experimental configurations</w:t>
            </w:r>
          </w:p>
        </w:tc>
      </w:tr>
      <w:tr>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Date</w:t>
            </w:r>
          </w:p>
        </w:tc>
        <w:tc>
          <w:tcPr>
            <w:tcW w:type="dxa" w:w="6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22 August 2026</w:t>
            </w:r>
          </w:p>
        </w:tc>
      </w:tr>
    </w:tbl>
    <w:p>
      <w:r>
        <w:br w:type="page"/>
      </w:r>
    </w:p>
    <w:p>
      <w:pPr>
        <w:pStyle w:val="Heading1"/>
        <w:pBdr>
          <w:bottom w:val="single" w:color="D4A24C" w:sz="8"/>
        </w:pBdr>
        <w:spacing w:after="160" w:before="400"/>
      </w:pPr>
      <w:r>
        <w:rPr>
          <w:rFonts w:ascii="Calibri" w:cs="Calibri" w:eastAsia="Calibri" w:hAnsi="Calibri"/>
          <w:b/>
          <w:bCs/>
          <w:color w:val="0A2647"/>
          <w:sz w:val="32"/>
          <w:szCs w:val="32"/>
        </w:rPr>
        <w:t xml:space="preserve">1. Overview and Context</w:t>
      </w:r>
    </w:p>
    <w:p>
      <w:pPr>
        <w:spacing w:after="180" w:line="340" w:lineRule="auto"/>
        <w:ind w:firstLine="504"/>
        <w:jc w:val="both"/>
      </w:pPr>
      <w:r>
        <w:rPr>
          <w:rFonts w:ascii="Calibri" w:cs="Calibri" w:eastAsia="Calibri" w:hAnsi="Calibri"/>
          <w:color w:val="000000"/>
          <w:sz w:val="22"/>
          <w:szCs w:val="22"/>
        </w:rPr>
        <w:t xml:space="preserve">This document provides the complete technical specification required for a computational or machine-learning-based simulation of hydrogen adsorption in a prototype zeolite–nano-activated carbon composite storage system. The physical prototype is designed around the P&amp;ID drawing PID-ZHS-FAB-002 and operates via a dry-ice and acetone cooling bath at 195 K. Because physical hydrogen gas is unavailable for experimental testing, simulation is adopted as the primary means of generating the performance data required for Chapter 4 of the final year thesis.</w:t>
      </w:r>
    </w:p>
    <w:p>
      <w:pPr>
        <w:spacing w:after="180" w:line="340" w:lineRule="auto"/>
        <w:ind w:firstLine="504"/>
        <w:jc w:val="both"/>
      </w:pPr>
      <w:r>
        <w:rPr>
          <w:rFonts w:ascii="Calibri" w:cs="Calibri" w:eastAsia="Calibri" w:hAnsi="Calibri"/>
          <w:color w:val="000000"/>
          <w:sz w:val="22"/>
          <w:szCs w:val="22"/>
        </w:rPr>
        <w:t xml:space="preserve">The person running the simulation should read this entire document before beginning any computational work. Every parameter, material property, operating condition, and output requirement relevant to the simulation is specified here. Where a range of values is given, the preferred value is indicated. Where assumptions have been made, they are flagged explicitly so the simulator can refine them if better data is available.</w:t>
      </w:r>
    </w:p>
    <w:p>
      <w:pPr>
        <w:pStyle w:val="Heading2"/>
        <w:spacing w:after="120" w:before="280"/>
      </w:pPr>
      <w:r>
        <w:rPr>
          <w:rFonts w:ascii="Calibri" w:cs="Calibri" w:eastAsia="Calibri" w:hAnsi="Calibri"/>
          <w:b/>
          <w:bCs/>
          <w:color w:val="0A2647"/>
          <w:sz w:val="26"/>
          <w:szCs w:val="26"/>
        </w:rPr>
        <w:t xml:space="preserve">1.1 What the Simulation Must Reproduce</w:t>
      </w:r>
    </w:p>
    <w:p>
      <w:pPr>
        <w:spacing w:after="180" w:line="340" w:lineRule="auto"/>
        <w:ind w:firstLine="504"/>
        <w:jc w:val="both"/>
      </w:pPr>
      <w:r>
        <w:rPr>
          <w:rFonts w:ascii="Calibri" w:cs="Calibri" w:eastAsia="Calibri" w:hAnsi="Calibri"/>
          <w:color w:val="000000"/>
          <w:sz w:val="22"/>
          <w:szCs w:val="22"/>
        </w:rPr>
        <w:t xml:space="preserve">The simulation must generate </w:t>
      </w:r>
      <w:r>
        <w:rPr>
          <w:rFonts w:ascii="Calibri" w:cs="Calibri" w:eastAsia="Calibri" w:hAnsi="Calibri"/>
          <w:b/>
          <w:bCs/>
          <w:color w:val="000000"/>
          <w:sz w:val="22"/>
          <w:szCs w:val="22"/>
        </w:rPr>
        <w:t xml:space="preserve">adsorption isotherms</w:t>
      </w:r>
      <w:r>
        <w:rPr>
          <w:rFonts w:ascii="Calibri" w:cs="Calibri" w:eastAsia="Calibri" w:hAnsi="Calibri"/>
          <w:color w:val="000000"/>
          <w:sz w:val="22"/>
          <w:szCs w:val="22"/>
        </w:rPr>
        <w:t xml:space="preserve"> — that is, the equilibrium quantity of hydrogen adsorbed per unit mass of adsorbent as a function of pressure at a fixed temperature — for </w:t>
      </w:r>
      <w:r>
        <w:rPr>
          <w:rFonts w:ascii="Calibri" w:cs="Calibri" w:eastAsia="Calibri" w:hAnsi="Calibri"/>
          <w:b/>
          <w:bCs/>
          <w:color w:val="000000"/>
          <w:sz w:val="22"/>
          <w:szCs w:val="22"/>
        </w:rPr>
        <w:t xml:space="preserve">eight distinct material configurations</w:t>
      </w:r>
      <w:r>
        <w:rPr>
          <w:rFonts w:ascii="Calibri" w:cs="Calibri" w:eastAsia="Calibri" w:hAnsi="Calibri"/>
          <w:color w:val="000000"/>
          <w:sz w:val="22"/>
          <w:szCs w:val="22"/>
        </w:rPr>
        <w:t xml:space="preserve"> at a temperature of </w:t>
      </w:r>
      <w:r>
        <w:rPr>
          <w:rFonts w:ascii="Calibri" w:cs="Calibri" w:eastAsia="Calibri" w:hAnsi="Calibri"/>
          <w:b/>
          <w:bCs/>
          <w:color w:val="000000"/>
          <w:sz w:val="22"/>
          <w:szCs w:val="22"/>
        </w:rPr>
        <w:t xml:space="preserve">195 K</w:t>
      </w:r>
      <w:r>
        <w:rPr>
          <w:rFonts w:ascii="Calibri" w:cs="Calibri" w:eastAsia="Calibri" w:hAnsi="Calibri"/>
          <w:color w:val="000000"/>
          <w:sz w:val="22"/>
          <w:szCs w:val="22"/>
        </w:rPr>
        <w:t xml:space="preserve"> and pressures of </w:t>
      </w:r>
      <w:r>
        <w:rPr>
          <w:rFonts w:ascii="Calibri" w:cs="Calibri" w:eastAsia="Calibri" w:hAnsi="Calibri"/>
          <w:b/>
          <w:bCs/>
          <w:color w:val="000000"/>
          <w:sz w:val="22"/>
          <w:szCs w:val="22"/>
        </w:rPr>
        <w:t xml:space="preserve">1, 3, 5, 7, and 10 bar</w:t>
      </w:r>
      <w:r>
        <w:rPr>
          <w:rFonts w:ascii="Calibri" w:cs="Calibri" w:eastAsia="Calibri" w:hAnsi="Calibri"/>
          <w:color w:val="000000"/>
          <w:sz w:val="22"/>
          <w:szCs w:val="22"/>
        </w:rPr>
        <w:t xml:space="preserve">. The eight configurations arise from the combination of two zeolite types, two physical forms, and two composite variants defined in the experimental test matrix.</w:t>
      </w:r>
    </w:p>
    <w:p>
      <w:pPr>
        <w:pStyle w:val="Heading2"/>
        <w:spacing w:after="120" w:before="280"/>
      </w:pPr>
      <w:r>
        <w:rPr>
          <w:rFonts w:ascii="Calibri" w:cs="Calibri" w:eastAsia="Calibri" w:hAnsi="Calibri"/>
          <w:b/>
          <w:bCs/>
          <w:color w:val="0A2647"/>
          <w:sz w:val="26"/>
          <w:szCs w:val="26"/>
        </w:rPr>
        <w:t xml:space="preserve">1.2 Recommended Simulation Approach</w:t>
      </w:r>
    </w:p>
    <w:p>
      <w:pPr>
        <w:spacing w:after="180" w:line="340" w:lineRule="auto"/>
        <w:ind w:firstLine="504"/>
        <w:jc w:val="both"/>
      </w:pPr>
      <w:r>
        <w:rPr>
          <w:rFonts w:ascii="Calibri" w:cs="Calibri" w:eastAsia="Calibri" w:hAnsi="Calibri"/>
          <w:color w:val="000000"/>
          <w:sz w:val="22"/>
          <w:szCs w:val="22"/>
        </w:rPr>
        <w:t xml:space="preserve">Three simulation approaches are viable for this system, listed in order of preference:</w:t>
      </w:r>
    </w:p>
    <w:p>
      <w:pPr>
        <w:pStyle w:val="ListParagraph"/>
        <w:numPr>
          <w:ilvl w:val="0"/>
          <w:numId w:val="1"/>
        </w:numPr>
        <w:spacing w:after="80"/>
        <w:ind w:left="504" w:hanging="288"/>
      </w:pPr>
      <w:r>
        <w:rPr>
          <w:rFonts w:ascii="Calibri" w:cs="Calibri" w:eastAsia="Calibri" w:hAnsi="Calibri"/>
          <w:b/>
          <w:bCs/>
          <w:sz w:val="22"/>
          <w:szCs w:val="22"/>
        </w:rPr>
        <w:t xml:space="preserve">Grand Canonical Monte Carlo (GCMC)</w:t>
      </w:r>
      <w:r>
        <w:rPr>
          <w:rFonts w:ascii="Calibri" w:cs="Calibri" w:eastAsia="Calibri" w:hAnsi="Calibri"/>
          <w:sz w:val="22"/>
          <w:szCs w:val="22"/>
        </w:rPr>
        <w:t xml:space="preserve"> — MOST RECOMMENDED. This is the gold standard for predicting gas adsorption isotherms in porous materials. It directly simulates the statistical equilibrium between a gas-phase reservoir at fixed chemical potential (pressure) and the adsorbed phase inside the zeolite pores. Software: RASPA2 (free, open source). This approach requires zeolite crystal structure files (.cif format) and a hydrogen force field.</w:t>
      </w:r>
    </w:p>
    <w:p>
      <w:pPr>
        <w:pStyle w:val="ListParagraph"/>
        <w:numPr>
          <w:ilvl w:val="0"/>
          <w:numId w:val="1"/>
        </w:numPr>
        <w:spacing w:after="80"/>
        <w:ind w:left="504" w:hanging="288"/>
      </w:pPr>
      <w:r>
        <w:rPr>
          <w:rFonts w:ascii="Calibri" w:cs="Calibri" w:eastAsia="Calibri" w:hAnsi="Calibri"/>
          <w:b/>
          <w:bCs/>
          <w:sz w:val="22"/>
          <w:szCs w:val="22"/>
        </w:rPr>
        <w:t xml:space="preserve">Machine Learning Surrogate Model</w:t>
      </w:r>
      <w:r>
        <w:rPr>
          <w:rFonts w:ascii="Calibri" w:cs="Calibri" w:eastAsia="Calibri" w:hAnsi="Calibri"/>
          <w:sz w:val="22"/>
          <w:szCs w:val="22"/>
        </w:rPr>
        <w:t xml:space="preserve"> — SECOND CHOICE. Train a model on published isotherm data from the literature (Langmi 2003, Erdogan 2024, Hauli 2025, Akyalcin 2024) and use it to predict isotherms for the eight configurations. Software: Python (scikit-learn, XGBoost, or a neural network). This approach does not require crystal structure files but requires careful feature engineering.</w:t>
      </w:r>
    </w:p>
    <w:p>
      <w:pPr>
        <w:pStyle w:val="ListParagraph"/>
        <w:numPr>
          <w:ilvl w:val="0"/>
          <w:numId w:val="1"/>
        </w:numPr>
        <w:spacing w:after="80"/>
        <w:ind w:left="504" w:hanging="288"/>
      </w:pPr>
      <w:r>
        <w:rPr>
          <w:rFonts w:ascii="Calibri" w:cs="Calibri" w:eastAsia="Calibri" w:hAnsi="Calibri"/>
          <w:b/>
          <w:bCs/>
          <w:sz w:val="22"/>
          <w:szCs w:val="22"/>
        </w:rPr>
        <w:t xml:space="preserve">Density Functional Theory (DFT) + Statistical Mechanics</w:t>
      </w:r>
      <w:r>
        <w:rPr>
          <w:rFonts w:ascii="Calibri" w:cs="Calibri" w:eastAsia="Calibri" w:hAnsi="Calibri"/>
          <w:sz w:val="22"/>
          <w:szCs w:val="22"/>
        </w:rPr>
        <w:t xml:space="preserve"> — THIRD CHOICE. Computationally expensive, requires specialist expertise. Not recommended unless the simulator has specific DFT experience.</w:t>
      </w:r>
    </w:p>
    <w:p>
      <w:pPr>
        <w:spacing w:after="60"/>
      </w:pPr>
      <w:r>
        <w:rPr>
          <w:rFonts w:ascii="Calibri" w:cs="Calibri" w:eastAsia="Calibri" w:hAnsi="Calibri"/>
          <w:sz w:val="22"/>
          <w:szCs w:val="22"/>
        </w:rPr>
        <w:t xml:space="preserve"/>
      </w:r>
    </w:p>
    <w:p>
      <w:pPr>
        <w:spacing w:after="160"/>
        <w:ind w:left="360"/>
      </w:pPr>
      <w:r>
        <w:rPr>
          <w:rFonts w:ascii="Calibri" w:cs="Calibri" w:eastAsia="Calibri" w:hAnsi="Calibri"/>
          <w:b/>
          <w:bCs/>
          <w:color w:val="C0392B"/>
          <w:sz w:val="22"/>
          <w:szCs w:val="22"/>
        </w:rPr>
        <w:t xml:space="preserve">NOTE: </w:t>
      </w:r>
      <w:r>
        <w:rPr>
          <w:rFonts w:ascii="Calibri" w:cs="Calibri" w:eastAsia="Calibri" w:hAnsi="Calibri"/>
          <w:color w:val="C0392B"/>
          <w:sz w:val="22"/>
          <w:szCs w:val="22"/>
        </w:rPr>
        <w:t xml:space="preserve">Regardless of which approach is used, the simulator must validate the output against the published Langmi et al. (2003) values for plain Zeolite 13X and 5A at 77 K before proceeding to generate the 195 K predictions. This is the non-negotiable quality check.</w:t>
      </w:r>
    </w:p>
    <w:p>
      <w:r>
        <w:br w:type="page"/>
      </w:r>
    </w:p>
    <w:p>
      <w:pPr>
        <w:pStyle w:val="Heading1"/>
        <w:pBdr>
          <w:bottom w:val="single" w:color="D4A24C" w:sz="8"/>
        </w:pBdr>
        <w:spacing w:after="160" w:before="400"/>
      </w:pPr>
      <w:r>
        <w:rPr>
          <w:rFonts w:ascii="Calibri" w:cs="Calibri" w:eastAsia="Calibri" w:hAnsi="Calibri"/>
          <w:b/>
          <w:bCs/>
          <w:color w:val="0A2647"/>
          <w:sz w:val="32"/>
          <w:szCs w:val="32"/>
        </w:rPr>
        <w:t xml:space="preserve">2. Material Specifications</w:t>
      </w:r>
    </w:p>
    <w:p>
      <w:pPr>
        <w:spacing w:after="180" w:line="340" w:lineRule="auto"/>
        <w:ind w:firstLine="504"/>
        <w:jc w:val="both"/>
      </w:pPr>
      <w:r>
        <w:rPr>
          <w:rFonts w:ascii="Calibri" w:cs="Calibri" w:eastAsia="Calibri" w:hAnsi="Calibri"/>
          <w:color w:val="000000"/>
          <w:sz w:val="22"/>
          <w:szCs w:val="22"/>
        </w:rPr>
        <w:t xml:space="preserve">This section provides the complete material property data the simulator needs to define the adsorbent phases. Every parameter listed here is required as an input to the simulation.</w:t>
      </w:r>
    </w:p>
    <w:p>
      <w:pPr>
        <w:pStyle w:val="Heading2"/>
        <w:spacing w:after="120" w:before="280"/>
      </w:pPr>
      <w:r>
        <w:rPr>
          <w:rFonts w:ascii="Calibri" w:cs="Calibri" w:eastAsia="Calibri" w:hAnsi="Calibri"/>
          <w:b/>
          <w:bCs/>
          <w:color w:val="0A2647"/>
          <w:sz w:val="26"/>
          <w:szCs w:val="26"/>
        </w:rPr>
        <w:t xml:space="preserve">2.1 Zeolite 13X — Primary Adsorbent (Configuration 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00"/>
      </w:tblGrid>
      <w:tr>
        <w:trPr>
          <w:tblHeader/>
        </w:trPr>
        <w:tc>
          <w:tcPr>
            <w:tcW w:type="dxa" w:w="32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Property</w:t>
            </w:r>
          </w:p>
        </w:tc>
        <w:tc>
          <w:tcPr>
            <w:tcW w:type="dxa" w:w="28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Value</w:t>
            </w:r>
          </w:p>
        </w:tc>
        <w:tc>
          <w:tcPr>
            <w:tcW w:type="dxa" w:w="30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Source / Notes</w:t>
            </w:r>
          </w:p>
        </w:tc>
      </w:tr>
      <w:tr>
        <w:tc>
          <w:tcPr>
            <w:tcW w:type="dxa" w:w="3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Framework type</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Faujasite (FAU)</w:t>
            </w:r>
          </w:p>
        </w:tc>
        <w:tc>
          <w:tcPr>
            <w:tcW w:type="dxa" w:w="3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Standard crystallographic classification</w:t>
            </w:r>
          </w:p>
        </w:tc>
      </w:tr>
      <w:tr>
        <w:tc>
          <w:tcPr>
            <w:tcW w:type="dxa" w:w="3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Si/Al ratio</w:t>
            </w:r>
          </w:p>
        </w:tc>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1.0 – 1.5</w:t>
            </w:r>
          </w:p>
        </w:tc>
        <w:tc>
          <w:tcPr>
            <w:tcW w:type="dxa" w:w="3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Typical commercial 13X; use 1.0 if not specified</w:t>
            </w:r>
          </w:p>
        </w:tc>
      </w:tr>
      <w:tr>
        <w:tc>
          <w:tcPr>
            <w:tcW w:type="dxa" w:w="3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Extra-framework cation</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Na⁺ (sodium)</w:t>
            </w:r>
          </w:p>
        </w:tc>
        <w:tc>
          <w:tcPr>
            <w:tcW w:type="dxa" w:w="3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NaX form, fully exchanged</w:t>
            </w:r>
          </w:p>
        </w:tc>
      </w:tr>
      <w:tr>
        <w:tc>
          <w:tcPr>
            <w:tcW w:type="dxa" w:w="3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Pore aperture diameter</w:t>
            </w:r>
          </w:p>
        </w:tc>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7.4 Å</w:t>
            </w:r>
          </w:p>
        </w:tc>
        <w:tc>
          <w:tcPr>
            <w:tcW w:type="dxa" w:w="3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12-membered ring opening</w:t>
            </w:r>
          </w:p>
        </w:tc>
      </w:tr>
      <w:tr>
        <w:tc>
          <w:tcPr>
            <w:tcW w:type="dxa" w:w="3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Supercage diameter</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11.8 Å</w:t>
            </w:r>
          </w:p>
        </w:tc>
        <w:tc>
          <w:tcPr>
            <w:tcW w:type="dxa" w:w="3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FAU supercage</w:t>
            </w:r>
          </w:p>
        </w:tc>
      </w:tr>
      <w:tr>
        <w:tc>
          <w:tcPr>
            <w:tcW w:type="dxa" w:w="3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BET surface area</w:t>
            </w:r>
          </w:p>
        </w:tc>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700 – 900 m²/g</w:t>
            </w:r>
          </w:p>
        </w:tc>
        <w:tc>
          <w:tcPr>
            <w:tcW w:type="dxa" w:w="3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Target: 800 m²/g for simulation baseline</w:t>
            </w:r>
          </w:p>
        </w:tc>
      </w:tr>
      <w:tr>
        <w:tc>
          <w:tcPr>
            <w:tcW w:type="dxa" w:w="3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Micropore volume</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0.25 – 0.35 cm³/g</w:t>
            </w:r>
          </w:p>
        </w:tc>
        <w:tc>
          <w:tcPr>
            <w:tcW w:type="dxa" w:w="3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Target: 0.30 cm³/g</w:t>
            </w:r>
          </w:p>
        </w:tc>
      </w:tr>
      <w:tr>
        <w:tc>
          <w:tcPr>
            <w:tcW w:type="dxa" w:w="3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Crystal density</w:t>
            </w:r>
          </w:p>
        </w:tc>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1.92 g/cm³</w:t>
            </w:r>
          </w:p>
        </w:tc>
        <w:tc>
          <w:tcPr>
            <w:tcW w:type="dxa" w:w="3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Pure crystalline phase</w:t>
            </w:r>
          </w:p>
        </w:tc>
      </w:tr>
      <w:tr>
        <w:tc>
          <w:tcPr>
            <w:tcW w:type="dxa" w:w="3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Pellet bulk density (granular)</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~0.60 g/cm³</w:t>
            </w:r>
          </w:p>
        </w:tc>
        <w:tc>
          <w:tcPr>
            <w:tcW w:type="dxa" w:w="3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Includes binder phase</w:t>
            </w:r>
          </w:p>
        </w:tc>
      </w:tr>
      <w:tr>
        <w:tc>
          <w:tcPr>
            <w:tcW w:type="dxa" w:w="3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Binder content (granular form)</w:t>
            </w:r>
          </w:p>
        </w:tc>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15–20 wt%</w:t>
            </w:r>
          </w:p>
        </w:tc>
        <w:tc>
          <w:tcPr>
            <w:tcW w:type="dxa" w:w="3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Clay or silica binder; use 17.5% if unknown</w:t>
            </w:r>
          </w:p>
        </w:tc>
      </w:tr>
      <w:tr>
        <w:tc>
          <w:tcPr>
            <w:tcW w:type="dxa" w:w="3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CIF file reference</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FAU framework — IZA Structure Database</w:t>
            </w:r>
          </w:p>
        </w:tc>
        <w:tc>
          <w:tcPr>
            <w:tcW w:type="dxa" w:w="3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Download from iza-structure.org</w:t>
            </w:r>
          </w:p>
        </w:tc>
      </w:tr>
      <w:tr>
        <w:tc>
          <w:tcPr>
            <w:tcW w:type="dxa" w:w="3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Isosteric heat of adsorption (H₂)</w:t>
            </w:r>
          </w:p>
        </w:tc>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4 – 8 kJ/mol</w:t>
            </w:r>
          </w:p>
        </w:tc>
        <w:tc>
          <w:tcPr>
            <w:tcW w:type="dxa" w:w="3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Use 4 kJ/mol for conservative estimate</w:t>
            </w:r>
          </w:p>
        </w:tc>
      </w:tr>
      <w:tr>
        <w:tc>
          <w:tcPr>
            <w:tcW w:type="dxa" w:w="3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Langmuir saturation capacity</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~1.5 wt% at 77 K</w:t>
            </w:r>
          </w:p>
        </w:tc>
        <w:tc>
          <w:tcPr>
            <w:tcW w:type="dxa" w:w="3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From Langmi et al. (2003)</w:t>
            </w:r>
          </w:p>
        </w:tc>
      </w:tr>
    </w:tbl>
    <w:p>
      <w:pPr>
        <w:spacing w:after="6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0A2647"/>
          <w:sz w:val="26"/>
          <w:szCs w:val="26"/>
        </w:rPr>
        <w:t xml:space="preserve">2.2 Zeolite 5A — Secondary Adsorbent (Configuration 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00"/>
      </w:tblGrid>
      <w:tr>
        <w:trPr>
          <w:tblHeader/>
        </w:trPr>
        <w:tc>
          <w:tcPr>
            <w:tcW w:type="dxa" w:w="32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Property</w:t>
            </w:r>
          </w:p>
        </w:tc>
        <w:tc>
          <w:tcPr>
            <w:tcW w:type="dxa" w:w="28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Value</w:t>
            </w:r>
          </w:p>
        </w:tc>
        <w:tc>
          <w:tcPr>
            <w:tcW w:type="dxa" w:w="30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Source / Notes</w:t>
            </w:r>
          </w:p>
        </w:tc>
      </w:tr>
      <w:tr>
        <w:tc>
          <w:tcPr>
            <w:tcW w:type="dxa" w:w="3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Framework type</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Linde Type A (LTA)</w:t>
            </w:r>
          </w:p>
        </w:tc>
        <w:tc>
          <w:tcPr>
            <w:tcW w:type="dxa" w:w="3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Ca-exchanged form (5A)</w:t>
            </w:r>
          </w:p>
        </w:tc>
      </w:tr>
      <w:tr>
        <w:tc>
          <w:tcPr>
            <w:tcW w:type="dxa" w:w="3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Extra-framework cation</w:t>
            </w:r>
          </w:p>
        </w:tc>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Ca²⁺ / Na⁺ mixed</w:t>
            </w:r>
          </w:p>
        </w:tc>
        <w:tc>
          <w:tcPr>
            <w:tcW w:type="dxa" w:w="3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Ca²⁺ dominant in 5A</w:t>
            </w:r>
          </w:p>
        </w:tc>
      </w:tr>
      <w:tr>
        <w:tc>
          <w:tcPr>
            <w:tcW w:type="dxa" w:w="3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Pore aperture diameter</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4.2 Å</w:t>
            </w:r>
          </w:p>
        </w:tc>
        <w:tc>
          <w:tcPr>
            <w:tcW w:type="dxa" w:w="3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8-membered ring opening</w:t>
            </w:r>
          </w:p>
        </w:tc>
      </w:tr>
      <w:tr>
        <w:tc>
          <w:tcPr>
            <w:tcW w:type="dxa" w:w="3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Alpha-cage diameter</w:t>
            </w:r>
          </w:p>
        </w:tc>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11.4 Å</w:t>
            </w:r>
          </w:p>
        </w:tc>
        <w:tc>
          <w:tcPr>
            <w:tcW w:type="dxa" w:w="3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LTA alpha cage</w:t>
            </w:r>
          </w:p>
        </w:tc>
      </w:tr>
      <w:tr>
        <w:tc>
          <w:tcPr>
            <w:tcW w:type="dxa" w:w="3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BET surface area</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600 – 750 m²/g</w:t>
            </w:r>
          </w:p>
        </w:tc>
        <w:tc>
          <w:tcPr>
            <w:tcW w:type="dxa" w:w="3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Target: 680 m²/g</w:t>
            </w:r>
          </w:p>
        </w:tc>
      </w:tr>
      <w:tr>
        <w:tc>
          <w:tcPr>
            <w:tcW w:type="dxa" w:w="3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Micropore volume</w:t>
            </w:r>
          </w:p>
        </w:tc>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0.22 – 0.28 cm³/g</w:t>
            </w:r>
          </w:p>
        </w:tc>
        <w:tc>
          <w:tcPr>
            <w:tcW w:type="dxa" w:w="3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Target: 0.25 cm³/g</w:t>
            </w:r>
          </w:p>
        </w:tc>
      </w:tr>
      <w:tr>
        <w:tc>
          <w:tcPr>
            <w:tcW w:type="dxa" w:w="3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Crystal density</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1.52 g/cm³</w:t>
            </w:r>
          </w:p>
        </w:tc>
        <w:tc>
          <w:tcPr>
            <w:tcW w:type="dxa" w:w="3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Pure crystalline phase</w:t>
            </w:r>
          </w:p>
        </w:tc>
      </w:tr>
      <w:tr>
        <w:tc>
          <w:tcPr>
            <w:tcW w:type="dxa" w:w="3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Pellet bulk density (granular)</w:t>
            </w:r>
          </w:p>
        </w:tc>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~0.70 g/cm³</w:t>
            </w:r>
          </w:p>
        </w:tc>
        <w:tc>
          <w:tcPr>
            <w:tcW w:type="dxa" w:w="3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Includes binder phase</w:t>
            </w:r>
          </w:p>
        </w:tc>
      </w:tr>
      <w:tr>
        <w:tc>
          <w:tcPr>
            <w:tcW w:type="dxa" w:w="3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Binder content (granular form)</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15–20 wt%</w:t>
            </w:r>
          </w:p>
        </w:tc>
        <w:tc>
          <w:tcPr>
            <w:tcW w:type="dxa" w:w="3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Same as 13X, clay binder</w:t>
            </w:r>
          </w:p>
        </w:tc>
      </w:tr>
      <w:tr>
        <w:tc>
          <w:tcPr>
            <w:tcW w:type="dxa" w:w="3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CIF file reference</w:t>
            </w:r>
          </w:p>
        </w:tc>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LTA framework — IZA Structure Database</w:t>
            </w:r>
          </w:p>
        </w:tc>
        <w:tc>
          <w:tcPr>
            <w:tcW w:type="dxa" w:w="3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Download from iza-structure.org</w:t>
            </w:r>
          </w:p>
        </w:tc>
      </w:tr>
      <w:tr>
        <w:tc>
          <w:tcPr>
            <w:tcW w:type="dxa" w:w="3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Isosteric heat of adsorption (H₂)</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4 – 7 kJ/mol</w:t>
            </w:r>
          </w:p>
        </w:tc>
        <w:tc>
          <w:tcPr>
            <w:tcW w:type="dxa" w:w="3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Use 4 kJ/mol for conservative estimate</w:t>
            </w:r>
          </w:p>
        </w:tc>
      </w:tr>
      <w:tr>
        <w:tc>
          <w:tcPr>
            <w:tcW w:type="dxa" w:w="3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Langmuir saturation capacity</w:t>
            </w:r>
          </w:p>
        </w:tc>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~1.0 wt% at 77 K</w:t>
            </w:r>
          </w:p>
        </w:tc>
        <w:tc>
          <w:tcPr>
            <w:tcW w:type="dxa" w:w="3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From Langmi et al. (2003)</w:t>
            </w:r>
          </w:p>
        </w:tc>
      </w:tr>
    </w:tbl>
    <w:p>
      <w:pPr>
        <w:spacing w:after="6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0A2647"/>
          <w:sz w:val="26"/>
          <w:szCs w:val="26"/>
        </w:rPr>
        <w:t xml:space="preserve">2.3 Nano-Activated Carbon — Composite Additive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00"/>
      </w:tblGrid>
      <w:tr>
        <w:trPr>
          <w:tblHeader/>
        </w:trPr>
        <w:tc>
          <w:tcPr>
            <w:tcW w:type="dxa" w:w="32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Property</w:t>
            </w:r>
          </w:p>
        </w:tc>
        <w:tc>
          <w:tcPr>
            <w:tcW w:type="dxa" w:w="28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Value</w:t>
            </w:r>
          </w:p>
        </w:tc>
        <w:tc>
          <w:tcPr>
            <w:tcW w:type="dxa" w:w="30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Source / Notes</w:t>
            </w:r>
          </w:p>
        </w:tc>
      </w:tr>
      <w:tr>
        <w:tc>
          <w:tcPr>
            <w:tcW w:type="dxa" w:w="3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Particle size</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&lt; 100 nm</w:t>
            </w:r>
          </w:p>
        </w:tc>
        <w:tc>
          <w:tcPr>
            <w:tcW w:type="dxa" w:w="3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Nano-grade, not standard activated carbon</w:t>
            </w:r>
          </w:p>
        </w:tc>
      </w:tr>
      <w:tr>
        <w:tc>
          <w:tcPr>
            <w:tcW w:type="dxa" w:w="3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BET surface area</w:t>
            </w:r>
          </w:p>
        </w:tc>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 1,000 m²/g</w:t>
            </w:r>
          </w:p>
        </w:tc>
        <w:tc>
          <w:tcPr>
            <w:tcW w:type="dxa" w:w="3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Minimum specification</w:t>
            </w:r>
          </w:p>
        </w:tc>
      </w:tr>
      <w:tr>
        <w:tc>
          <w:tcPr>
            <w:tcW w:type="dxa" w:w="3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Micropore volume</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 0.40 cm³/g</w:t>
            </w:r>
          </w:p>
        </w:tc>
        <w:tc>
          <w:tcPr>
            <w:tcW w:type="dxa" w:w="3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High-micropore-volume grade</w:t>
            </w:r>
          </w:p>
        </w:tc>
      </w:tr>
      <w:tr>
        <w:tc>
          <w:tcPr>
            <w:tcW w:type="dxa" w:w="3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Total pore volume</w:t>
            </w:r>
          </w:p>
        </w:tc>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0.6 – 1.2 cm³/g</w:t>
            </w:r>
          </w:p>
        </w:tc>
        <w:tc>
          <w:tcPr>
            <w:tcW w:type="dxa" w:w="3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
            </w:r>
          </w:p>
        </w:tc>
      </w:tr>
      <w:tr>
        <w:tc>
          <w:tcPr>
            <w:tcW w:type="dxa" w:w="3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Carbon content</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 95 wt%</w:t>
            </w:r>
          </w:p>
        </w:tc>
        <w:tc>
          <w:tcPr>
            <w:tcW w:type="dxa" w:w="3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Analytical grade</w:t>
            </w:r>
          </w:p>
        </w:tc>
      </w:tr>
      <w:tr>
        <w:tc>
          <w:tcPr>
            <w:tcW w:type="dxa" w:w="3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True density</w:t>
            </w:r>
          </w:p>
        </w:tc>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2.0 – 2.2 g/cm³</w:t>
            </w:r>
          </w:p>
        </w:tc>
        <w:tc>
          <w:tcPr>
            <w:tcW w:type="dxa" w:w="3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Use 2.1 g/cm³</w:t>
            </w:r>
          </w:p>
        </w:tc>
      </w:tr>
      <w:tr>
        <w:tc>
          <w:tcPr>
            <w:tcW w:type="dxa" w:w="3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Isosteric heat of adsorption (H₂)</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5 – 7 kJ/mol</w:t>
            </w:r>
          </w:p>
        </w:tc>
        <w:tc>
          <w:tcPr>
            <w:tcW w:type="dxa" w:w="3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Slightly higher than zeolite</w:t>
            </w:r>
          </w:p>
        </w:tc>
      </w:tr>
      <w:tr>
        <w:tc>
          <w:tcPr>
            <w:tcW w:type="dxa" w:w="3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Model structure</w:t>
            </w:r>
          </w:p>
        </w:tc>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Amorphous carbon / slit-pore model</w:t>
            </w:r>
          </w:p>
        </w:tc>
        <w:tc>
          <w:tcPr>
            <w:tcW w:type="dxa" w:w="3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Use slit-pore geometry for GCMC</w:t>
            </w:r>
          </w:p>
        </w:tc>
      </w:tr>
      <w:tr>
        <w:tc>
          <w:tcPr>
            <w:tcW w:type="dxa" w:w="3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Effective pore width</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5 – 15 Å</w:t>
            </w:r>
          </w:p>
        </w:tc>
        <w:tc>
          <w:tcPr>
            <w:tcW w:type="dxa" w:w="3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Distributed; use 7 Å as mean</w:t>
            </w:r>
          </w:p>
        </w:tc>
      </w:tr>
    </w:tbl>
    <w:p>
      <w:pPr>
        <w:spacing w:after="6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0A2647"/>
          <w:sz w:val="26"/>
          <w:szCs w:val="26"/>
        </w:rPr>
        <w:t xml:space="preserve">2.4 Composite Bed Composition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Parameter</w:t>
            </w:r>
          </w:p>
        </w:tc>
        <w:tc>
          <w:tcPr>
            <w:tcW w:type="dxa" w:w="50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Value</w:t>
            </w:r>
          </w:p>
        </w:tc>
      </w:tr>
      <w:tr>
        <w:tc>
          <w:tcPr>
            <w:tcW w:type="dxa" w:w="4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Zeolite mass fraction</w:t>
            </w:r>
          </w:p>
        </w:tc>
        <w:tc>
          <w:tcPr>
            <w:tcW w:type="dxa" w:w="5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85 wt% (0.85)</w:t>
            </w:r>
          </w:p>
        </w:tc>
      </w:tr>
      <w:tr>
        <w:tc>
          <w:tcPr>
            <w:tcW w:type="dxa" w:w="4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Nano-AC mass fraction</w:t>
            </w:r>
          </w:p>
        </w:tc>
        <w:tc>
          <w:tcPr>
            <w:tcW w:type="dxa" w:w="5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15 wt% (0.15)</w:t>
            </w:r>
          </w:p>
        </w:tc>
      </w:tr>
      <w:tr>
        <w:tc>
          <w:tcPr>
            <w:tcW w:type="dxa" w:w="4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Preparation method</w:t>
            </w:r>
          </w:p>
        </w:tc>
        <w:tc>
          <w:tcPr>
            <w:tcW w:type="dxa" w:w="5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Dry blending — assume intimate mechanical mixture</w:t>
            </w:r>
          </w:p>
        </w:tc>
      </w:tr>
      <w:tr>
        <w:tc>
          <w:tcPr>
            <w:tcW w:type="dxa" w:w="4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Total bed loading per run</w:t>
            </w:r>
          </w:p>
        </w:tc>
        <w:tc>
          <w:tcPr>
            <w:tcW w:type="dxa" w:w="5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~90 g</w:t>
            </w:r>
          </w:p>
        </w:tc>
      </w:tr>
      <w:tr>
        <w:tc>
          <w:tcPr>
            <w:tcW w:type="dxa" w:w="4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Zeolite mass per run</w:t>
            </w:r>
          </w:p>
        </w:tc>
        <w:tc>
          <w:tcPr>
            <w:tcW w:type="dxa" w:w="5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76.5 g</w:t>
            </w:r>
          </w:p>
        </w:tc>
      </w:tr>
      <w:tr>
        <w:tc>
          <w:tcPr>
            <w:tcW w:type="dxa" w:w="4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Nano-AC mass per run</w:t>
            </w:r>
          </w:p>
        </w:tc>
        <w:tc>
          <w:tcPr>
            <w:tcW w:type="dxa" w:w="5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13.5 g</w:t>
            </w:r>
          </w:p>
        </w:tc>
      </w:tr>
      <w:tr>
        <w:tc>
          <w:tcPr>
            <w:tcW w:type="dxa" w:w="4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Composite treatment</w:t>
            </w:r>
          </w:p>
        </w:tc>
        <w:tc>
          <w:tcPr>
            <w:tcW w:type="dxa" w:w="5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No chemical bonding — physical mixture only</w:t>
            </w:r>
          </w:p>
        </w:tc>
      </w:tr>
    </w:tbl>
    <w:p>
      <w:r>
        <w:br w:type="page"/>
      </w:r>
    </w:p>
    <w:p>
      <w:pPr>
        <w:pStyle w:val="Heading1"/>
        <w:pBdr>
          <w:bottom w:val="single" w:color="D4A24C" w:sz="8"/>
        </w:pBdr>
        <w:spacing w:after="160" w:before="400"/>
      </w:pPr>
      <w:r>
        <w:rPr>
          <w:rFonts w:ascii="Calibri" w:cs="Calibri" w:eastAsia="Calibri" w:hAnsi="Calibri"/>
          <w:b/>
          <w:bCs/>
          <w:color w:val="0A2647"/>
          <w:sz w:val="32"/>
          <w:szCs w:val="32"/>
        </w:rPr>
        <w:t xml:space="preserve">3. Operating Conditions</w:t>
      </w:r>
    </w:p>
    <w:p>
      <w:pPr>
        <w:spacing w:after="180" w:line="340" w:lineRule="auto"/>
        <w:ind w:firstLine="504"/>
        <w:jc w:val="both"/>
      </w:pPr>
      <w:r>
        <w:rPr>
          <w:rFonts w:ascii="Calibri" w:cs="Calibri" w:eastAsia="Calibri" w:hAnsi="Calibri"/>
          <w:color w:val="000000"/>
          <w:sz w:val="22"/>
          <w:szCs w:val="22"/>
        </w:rPr>
        <w:t xml:space="preserve">These are the exact conditions under which the simulation must be run. These values are taken directly from the P&amp;ID drawing PID-ZHS-FAB-002.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00"/>
      </w:tblGrid>
      <w:tr>
        <w:trPr>
          <w:tblHeader/>
        </w:trPr>
        <w:tc>
          <w:tcPr>
            <w:tcW w:type="dxa" w:w="30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Parameter</w:t>
            </w:r>
          </w:p>
        </w:tc>
        <w:tc>
          <w:tcPr>
            <w:tcW w:type="dxa" w:w="28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Value</w:t>
            </w:r>
          </w:p>
        </w:tc>
        <w:tc>
          <w:tcPr>
            <w:tcW w:type="dxa" w:w="32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Notes</w:t>
            </w:r>
          </w:p>
        </w:tc>
      </w:tr>
      <w:tr>
        <w:tc>
          <w:tcPr>
            <w:tcW w:type="dxa" w:w="3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Simulation temperature</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195 K (−78 °C)</w:t>
            </w:r>
          </w:p>
        </w:tc>
        <w:tc>
          <w:tcPr>
            <w:tcW w:type="dxa" w:w="3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Dry-ice + acetone bath temperature. Fixed — do not vary.</w:t>
            </w:r>
          </w:p>
        </w:tc>
      </w:tr>
      <w:tr>
        <w:tc>
          <w:tcPr>
            <w:tcW w:type="dxa" w:w="3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Pressure range</w:t>
            </w:r>
          </w:p>
        </w:tc>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1, 3, 5, 7, 10 bar</w:t>
            </w:r>
          </w:p>
        </w:tc>
        <w:tc>
          <w:tcPr>
            <w:tcW w:type="dxa" w:w="3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Five discrete points. Simulate each separately.</w:t>
            </w:r>
          </w:p>
        </w:tc>
      </w:tr>
      <w:tr>
        <w:tc>
          <w:tcPr>
            <w:tcW w:type="dxa" w:w="3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Adsorbate molecule</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Hydrogen (H₂)</w:t>
            </w:r>
          </w:p>
        </w:tc>
        <w:tc>
          <w:tcPr>
            <w:tcW w:type="dxa" w:w="3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99.9% purity — treat as pure H₂</w:t>
            </w:r>
          </w:p>
        </w:tc>
      </w:tr>
      <w:tr>
        <w:tc>
          <w:tcPr>
            <w:tcW w:type="dxa" w:w="3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Hydrogen model</w:t>
            </w:r>
          </w:p>
        </w:tc>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Buch model or Darkrim-Levesque model</w:t>
            </w:r>
          </w:p>
        </w:tc>
        <w:tc>
          <w:tcPr>
            <w:tcW w:type="dxa" w:w="3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2-site LJ model preferred for GCMC</w:t>
            </w:r>
          </w:p>
        </w:tc>
      </w:tr>
      <w:tr>
        <w:tc>
          <w:tcPr>
            <w:tcW w:type="dxa" w:w="3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Adsorption type</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Physisorption only</w:t>
            </w:r>
          </w:p>
        </w:tc>
        <w:tc>
          <w:tcPr>
            <w:tcW w:type="dxa" w:w="3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No chemisorption — do NOT use reactive force fields</w:t>
            </w:r>
          </w:p>
        </w:tc>
      </w:tr>
      <w:tr>
        <w:tc>
          <w:tcPr>
            <w:tcW w:type="dxa" w:w="3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Equilibration type</w:t>
            </w:r>
          </w:p>
        </w:tc>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Grand canonical (fixed μ, V, T)</w:t>
            </w:r>
          </w:p>
        </w:tc>
        <w:tc>
          <w:tcPr>
            <w:tcW w:type="dxa" w:w="3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For GCMC — chemical potential set by pressure</w:t>
            </w:r>
          </w:p>
        </w:tc>
      </w:tr>
      <w:tr>
        <w:tc>
          <w:tcPr>
            <w:tcW w:type="dxa" w:w="3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Vessel internal volume</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484 cm³</w:t>
            </w:r>
          </w:p>
        </w:tc>
        <w:tc>
          <w:tcPr>
            <w:tcW w:type="dxa" w:w="3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π × (25mm)² × 250mm</w:t>
            </w:r>
          </w:p>
        </w:tc>
      </w:tr>
      <w:tr>
        <w:tc>
          <w:tcPr>
            <w:tcW w:type="dxa" w:w="3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Dead volume per end</w:t>
            </w:r>
          </w:p>
        </w:tc>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60 cm³ (30 cm³ × 2)</w:t>
            </w:r>
          </w:p>
        </w:tc>
        <w:tc>
          <w:tcPr>
            <w:tcW w:type="dxa" w:w="3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30 mm space at each end cap</w:t>
            </w:r>
          </w:p>
        </w:tc>
      </w:tr>
      <w:tr>
        <w:tc>
          <w:tcPr>
            <w:tcW w:type="dxa" w:w="3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Active bed volume</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~364 cm³</w:t>
            </w:r>
          </w:p>
        </w:tc>
        <w:tc>
          <w:tcPr>
            <w:tcW w:type="dxa" w:w="3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Vessel volume minus dead volumes</w:t>
            </w:r>
          </w:p>
        </w:tc>
      </w:tr>
      <w:tr>
        <w:tc>
          <w:tcPr>
            <w:tcW w:type="dxa" w:w="3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Void fraction (bed)</w:t>
            </w:r>
          </w:p>
        </w:tc>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~0.35 – 0.40</w:t>
            </w:r>
          </w:p>
        </w:tc>
        <w:tc>
          <w:tcPr>
            <w:tcW w:type="dxa" w:w="3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Interparticle void; use 0.38</w:t>
            </w:r>
          </w:p>
        </w:tc>
      </w:tr>
      <w:tr>
        <w:tc>
          <w:tcPr>
            <w:tcW w:type="dxa" w:w="3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Reporting units</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wt% (g H₂ / 100 g adsorbent)</w:t>
            </w:r>
          </w:p>
        </w:tc>
        <w:tc>
          <w:tcPr>
            <w:tcW w:type="dxa" w:w="3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Standard gravimetric units</w:t>
            </w:r>
          </w:p>
        </w:tc>
      </w:tr>
    </w:tbl>
    <w:p>
      <w:pPr>
        <w:spacing w:after="6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0A2647"/>
          <w:sz w:val="26"/>
          <w:szCs w:val="26"/>
        </w:rPr>
        <w:t xml:space="preserve">3.1 Hydrogen Force Field Parameters</w:t>
      </w:r>
    </w:p>
    <w:p>
      <w:pPr>
        <w:spacing w:after="180" w:line="340" w:lineRule="auto"/>
        <w:ind w:firstLine="504"/>
        <w:jc w:val="both"/>
      </w:pPr>
      <w:r>
        <w:rPr>
          <w:rFonts w:ascii="Calibri" w:cs="Calibri" w:eastAsia="Calibri" w:hAnsi="Calibri"/>
          <w:color w:val="000000"/>
          <w:sz w:val="22"/>
          <w:szCs w:val="22"/>
        </w:rPr>
        <w:t xml:space="preserve">For GCMC simulation, the hydrogen molecule must be described by a force field. Use the </w:t>
      </w:r>
      <w:r>
        <w:rPr>
          <w:rFonts w:ascii="Calibri" w:cs="Calibri" w:eastAsia="Calibri" w:hAnsi="Calibri"/>
          <w:b/>
          <w:bCs/>
          <w:color w:val="000000"/>
          <w:sz w:val="22"/>
          <w:szCs w:val="22"/>
        </w:rPr>
        <w:t xml:space="preserve">Buch (1994) model</w:t>
      </w:r>
      <w:r>
        <w:rPr>
          <w:rFonts w:ascii="Calibri" w:cs="Calibri" w:eastAsia="Calibri" w:hAnsi="Calibri"/>
          <w:color w:val="000000"/>
          <w:sz w:val="22"/>
          <w:szCs w:val="22"/>
        </w:rPr>
        <w:t xml:space="preserve"> as the first choice, or the </w:t>
      </w:r>
      <w:r>
        <w:rPr>
          <w:rFonts w:ascii="Calibri" w:cs="Calibri" w:eastAsia="Calibri" w:hAnsi="Calibri"/>
          <w:b/>
          <w:bCs/>
          <w:color w:val="000000"/>
          <w:sz w:val="22"/>
          <w:szCs w:val="22"/>
        </w:rPr>
        <w:t xml:space="preserve">Darkrim-Levesque (1998) model</w:t>
      </w:r>
      <w:r>
        <w:rPr>
          <w:rFonts w:ascii="Calibri" w:cs="Calibri" w:eastAsia="Calibri" w:hAnsi="Calibri"/>
          <w:color w:val="000000"/>
          <w:sz w:val="22"/>
          <w:szCs w:val="22"/>
        </w:rPr>
        <w:t xml:space="preserve"> as the alternative. Both are freely available in the RASPA2 database.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600"/>
        <w:gridCol w:w="2800"/>
      </w:tblGrid>
      <w:tr>
        <w:trPr>
          <w:tblHeader/>
        </w:trPr>
        <w:tc>
          <w:tcPr>
            <w:tcW w:type="dxa" w:w="28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Model</w:t>
            </w:r>
          </w:p>
        </w:tc>
        <w:tc>
          <w:tcPr>
            <w:tcW w:type="dxa" w:w="14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σ (Å)</w:t>
            </w:r>
          </w:p>
        </w:tc>
        <w:tc>
          <w:tcPr>
            <w:tcW w:type="dxa" w:w="14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ε/k_B (K)</w:t>
            </w:r>
          </w:p>
        </w:tc>
        <w:tc>
          <w:tcPr>
            <w:tcW w:type="dxa" w:w="16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Bond length (Å)</w:t>
            </w:r>
          </w:p>
        </w:tc>
        <w:tc>
          <w:tcPr>
            <w:tcW w:type="dxa" w:w="28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Point charges</w:t>
            </w:r>
          </w:p>
        </w:tc>
      </w:tr>
      <w:tr>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Buch (1994) — RECOMMENDED</w:t>
            </w:r>
          </w:p>
        </w:tc>
        <w:tc>
          <w:tcPr>
            <w:tcW w:type="dxa" w:w="14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2.96</w:t>
            </w:r>
          </w:p>
        </w:tc>
        <w:tc>
          <w:tcPr>
            <w:tcW w:type="dxa" w:w="14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34.2</w:t>
            </w:r>
          </w:p>
        </w:tc>
        <w:tc>
          <w:tcPr>
            <w:tcW w:type="dxa" w:w="16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0.74 (rigid)</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None — non-polar model</w:t>
            </w:r>
          </w:p>
        </w:tc>
      </w:tr>
      <w:tr>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Darkrim-Levesque (1998)</w:t>
            </w:r>
          </w:p>
        </w:tc>
        <w:tc>
          <w:tcPr>
            <w:tcW w:type="dxa" w:w="14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2.958</w:t>
            </w:r>
          </w:p>
        </w:tc>
        <w:tc>
          <w:tcPr>
            <w:tcW w:type="dxa" w:w="14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36.7</w:t>
            </w:r>
          </w:p>
        </w:tc>
        <w:tc>
          <w:tcPr>
            <w:tcW w:type="dxa" w:w="16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0.74 (rigid)</w:t>
            </w:r>
          </w:p>
        </w:tc>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±0.468e on each site</w:t>
            </w:r>
          </w:p>
        </w:tc>
      </w:tr>
    </w:tbl>
    <w:p>
      <w:r>
        <w:br w:type="page"/>
      </w:r>
    </w:p>
    <w:p>
      <w:pPr>
        <w:pStyle w:val="Heading1"/>
        <w:pBdr>
          <w:bottom w:val="single" w:color="D4A24C" w:sz="8"/>
        </w:pBdr>
        <w:spacing w:after="160" w:before="400"/>
      </w:pPr>
      <w:r>
        <w:rPr>
          <w:rFonts w:ascii="Calibri" w:cs="Calibri" w:eastAsia="Calibri" w:hAnsi="Calibri"/>
          <w:b/>
          <w:bCs/>
          <w:color w:val="0A2647"/>
          <w:sz w:val="32"/>
          <w:szCs w:val="32"/>
        </w:rPr>
        <w:t xml:space="preserve">4. The Eight-Configuration Test Matrix</w:t>
      </w:r>
    </w:p>
    <w:p>
      <w:pPr>
        <w:spacing w:after="180" w:line="340" w:lineRule="auto"/>
        <w:ind w:firstLine="504"/>
        <w:jc w:val="both"/>
      </w:pPr>
      <w:r>
        <w:rPr>
          <w:rFonts w:ascii="Calibri" w:cs="Calibri" w:eastAsia="Calibri" w:hAnsi="Calibri"/>
          <w:color w:val="000000"/>
          <w:sz w:val="22"/>
          <w:szCs w:val="22"/>
        </w:rPr>
        <w:t xml:space="preserve">The simulation must be run for each of the following eight configurations. Each configuration is a unique combination of zeolite type, physical form, and composite status. The run numbers correspond exactly to those used in Chapter 3 and Chapter 4 of the thesis.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500"/>
        <w:gridCol w:w="1400"/>
        <w:gridCol w:w="2000"/>
        <w:gridCol w:w="1400"/>
      </w:tblGrid>
      <w:tr>
        <w:trPr>
          <w:tblHeader/>
        </w:trPr>
        <w:tc>
          <w:tcPr>
            <w:tcW w:type="dxa" w:w="7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Run</w:t>
            </w:r>
          </w:p>
        </w:tc>
        <w:tc>
          <w:tcPr>
            <w:tcW w:type="dxa" w:w="12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Zeolite</w:t>
            </w:r>
          </w:p>
        </w:tc>
        <w:tc>
          <w:tcPr>
            <w:tcW w:type="dxa" w:w="15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Physical Form</w:t>
            </w:r>
          </w:p>
        </w:tc>
        <w:tc>
          <w:tcPr>
            <w:tcW w:type="dxa" w:w="14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Nano-AC</w:t>
            </w:r>
          </w:p>
        </w:tc>
        <w:tc>
          <w:tcPr>
            <w:tcW w:type="dxa" w:w="20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Composite?</w:t>
            </w:r>
          </w:p>
        </w:tc>
        <w:tc>
          <w:tcPr>
            <w:tcW w:type="dxa" w:w="14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Priority</w:t>
            </w:r>
          </w:p>
        </w:tc>
      </w:tr>
      <w:tr>
        <w:tc>
          <w:tcPr>
            <w:tcW w:type="dxa" w:w="7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1</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13X</w:t>
            </w:r>
          </w:p>
        </w:tc>
        <w:tc>
          <w:tcPr>
            <w:tcW w:type="dxa" w:w="15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Granular</w:t>
            </w:r>
          </w:p>
        </w:tc>
        <w:tc>
          <w:tcPr>
            <w:tcW w:type="dxa" w:w="14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None</w:t>
            </w:r>
          </w:p>
        </w:tc>
        <w:tc>
          <w:tcPr>
            <w:tcW w:type="dxa" w:w="2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No (plain baseline)</w:t>
            </w:r>
          </w:p>
        </w:tc>
        <w:tc>
          <w:tcPr>
            <w:tcW w:type="dxa" w:w="14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000000"/>
                <w:sz w:val="20"/>
                <w:szCs w:val="20"/>
              </w:rPr>
              <w:t xml:space="preserve">HIGH</w:t>
            </w:r>
          </w:p>
        </w:tc>
      </w:tr>
      <w:tr>
        <w:tc>
          <w:tcPr>
            <w:tcW w:type="dxa" w:w="7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2</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13X</w:t>
            </w:r>
          </w:p>
        </w:tc>
        <w:tc>
          <w:tcPr>
            <w:tcW w:type="dxa" w:w="15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Powder</w:t>
            </w:r>
          </w:p>
        </w:tc>
        <w:tc>
          <w:tcPr>
            <w:tcW w:type="dxa" w:w="14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None</w:t>
            </w:r>
          </w:p>
        </w:tc>
        <w:tc>
          <w:tcPr>
            <w:tcW w:type="dxa" w:w="2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No (plain baseline)</w:t>
            </w:r>
          </w:p>
        </w:tc>
        <w:tc>
          <w:tcPr>
            <w:tcW w:type="dxa" w:w="14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000000"/>
                <w:sz w:val="20"/>
                <w:szCs w:val="20"/>
              </w:rPr>
              <w:t xml:space="preserve">HIGH</w:t>
            </w:r>
          </w:p>
        </w:tc>
      </w:tr>
      <w:tr>
        <w:tc>
          <w:tcPr>
            <w:tcW w:type="dxa" w:w="7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3</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5A</w:t>
            </w:r>
          </w:p>
        </w:tc>
        <w:tc>
          <w:tcPr>
            <w:tcW w:type="dxa" w:w="15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Granular</w:t>
            </w:r>
          </w:p>
        </w:tc>
        <w:tc>
          <w:tcPr>
            <w:tcW w:type="dxa" w:w="14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None</w:t>
            </w:r>
          </w:p>
        </w:tc>
        <w:tc>
          <w:tcPr>
            <w:tcW w:type="dxa" w:w="2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No (plain baseline)</w:t>
            </w:r>
          </w:p>
        </w:tc>
        <w:tc>
          <w:tcPr>
            <w:tcW w:type="dxa" w:w="14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MEDIUM</w:t>
            </w:r>
          </w:p>
        </w:tc>
      </w:tr>
      <w:tr>
        <w:tc>
          <w:tcPr>
            <w:tcW w:type="dxa" w:w="7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4</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5A</w:t>
            </w:r>
          </w:p>
        </w:tc>
        <w:tc>
          <w:tcPr>
            <w:tcW w:type="dxa" w:w="15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Powder</w:t>
            </w:r>
          </w:p>
        </w:tc>
        <w:tc>
          <w:tcPr>
            <w:tcW w:type="dxa" w:w="14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None</w:t>
            </w:r>
          </w:p>
        </w:tc>
        <w:tc>
          <w:tcPr>
            <w:tcW w:type="dxa" w:w="2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No (plain baseline)</w:t>
            </w:r>
          </w:p>
        </w:tc>
        <w:tc>
          <w:tcPr>
            <w:tcW w:type="dxa" w:w="14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MEDIUM</w:t>
            </w:r>
          </w:p>
        </w:tc>
      </w:tr>
      <w:tr>
        <w:tc>
          <w:tcPr>
            <w:tcW w:type="dxa" w:w="7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5</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13X</w:t>
            </w:r>
          </w:p>
        </w:tc>
        <w:tc>
          <w:tcPr>
            <w:tcW w:type="dxa" w:w="15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Granular</w:t>
            </w:r>
          </w:p>
        </w:tc>
        <w:tc>
          <w:tcPr>
            <w:tcW w:type="dxa" w:w="14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15 wt%</w:t>
            </w:r>
          </w:p>
        </w:tc>
        <w:tc>
          <w:tcPr>
            <w:tcW w:type="dxa" w:w="2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YES</w:t>
            </w:r>
          </w:p>
        </w:tc>
        <w:tc>
          <w:tcPr>
            <w:tcW w:type="dxa" w:w="14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000000"/>
                <w:sz w:val="20"/>
                <w:szCs w:val="20"/>
              </w:rPr>
              <w:t xml:space="preserve">HIGH</w:t>
            </w:r>
          </w:p>
        </w:tc>
      </w:tr>
      <w:tr>
        <w:tc>
          <w:tcPr>
            <w:tcW w:type="dxa" w:w="700"/>
            <w:tcBorders>
              <w:top w:val="single" w:color="AAAAAA" w:sz="4"/>
              <w:left w:val="single" w:color="AAAAAA" w:sz="4"/>
              <w:bottom w:val="single" w:color="AAAAAA" w:sz="4"/>
              <w:right w:val="single" w:color="AAAAAA" w:sz="4"/>
            </w:tcBorders>
            <w:shd w:fill="FFF3CD"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6</w:t>
            </w:r>
          </w:p>
        </w:tc>
        <w:tc>
          <w:tcPr>
            <w:tcW w:type="dxa" w:w="1200"/>
            <w:tcBorders>
              <w:top w:val="single" w:color="AAAAAA" w:sz="4"/>
              <w:left w:val="single" w:color="AAAAAA" w:sz="4"/>
              <w:bottom w:val="single" w:color="AAAAAA" w:sz="4"/>
              <w:right w:val="single" w:color="AAAAAA" w:sz="4"/>
            </w:tcBorders>
            <w:shd w:fill="FFF3CD"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13X</w:t>
            </w:r>
          </w:p>
        </w:tc>
        <w:tc>
          <w:tcPr>
            <w:tcW w:type="dxa" w:w="1500"/>
            <w:tcBorders>
              <w:top w:val="single" w:color="AAAAAA" w:sz="4"/>
              <w:left w:val="single" w:color="AAAAAA" w:sz="4"/>
              <w:bottom w:val="single" w:color="AAAAAA" w:sz="4"/>
              <w:right w:val="single" w:color="AAAAAA" w:sz="4"/>
            </w:tcBorders>
            <w:shd w:fill="FFF3CD"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Powder</w:t>
            </w:r>
          </w:p>
        </w:tc>
        <w:tc>
          <w:tcPr>
            <w:tcW w:type="dxa" w:w="1400"/>
            <w:tcBorders>
              <w:top w:val="single" w:color="AAAAAA" w:sz="4"/>
              <w:left w:val="single" w:color="AAAAAA" w:sz="4"/>
              <w:bottom w:val="single" w:color="AAAAAA" w:sz="4"/>
              <w:right w:val="single" w:color="AAAAAA" w:sz="4"/>
            </w:tcBorders>
            <w:shd w:fill="FFF3CD"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15 wt%</w:t>
            </w:r>
          </w:p>
        </w:tc>
        <w:tc>
          <w:tcPr>
            <w:tcW w:type="dxa" w:w="2000"/>
            <w:tcBorders>
              <w:top w:val="single" w:color="AAAAAA" w:sz="4"/>
              <w:left w:val="single" w:color="AAAAAA" w:sz="4"/>
              <w:bottom w:val="single" w:color="AAAAAA" w:sz="4"/>
              <w:right w:val="single" w:color="AAAAAA" w:sz="4"/>
            </w:tcBorders>
            <w:shd w:fill="FFF3CD"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YES</w:t>
            </w:r>
          </w:p>
        </w:tc>
        <w:tc>
          <w:tcPr>
            <w:tcW w:type="dxa" w:w="1400"/>
            <w:tcBorders>
              <w:top w:val="single" w:color="AAAAAA" w:sz="4"/>
              <w:left w:val="single" w:color="AAAAAA" w:sz="4"/>
              <w:bottom w:val="single" w:color="AAAAAA" w:sz="4"/>
              <w:right w:val="single" w:color="AAAAAA" w:sz="4"/>
            </w:tcBorders>
            <w:shd w:fill="FFF3CD"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000000"/>
                <w:sz w:val="20"/>
                <w:szCs w:val="20"/>
              </w:rPr>
              <w:t xml:space="preserve">HIGH</w:t>
            </w:r>
          </w:p>
        </w:tc>
      </w:tr>
      <w:tr>
        <w:tc>
          <w:tcPr>
            <w:tcW w:type="dxa" w:w="7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7</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5A</w:t>
            </w:r>
          </w:p>
        </w:tc>
        <w:tc>
          <w:tcPr>
            <w:tcW w:type="dxa" w:w="15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Granular</w:t>
            </w:r>
          </w:p>
        </w:tc>
        <w:tc>
          <w:tcPr>
            <w:tcW w:type="dxa" w:w="14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15 wt%</w:t>
            </w:r>
          </w:p>
        </w:tc>
        <w:tc>
          <w:tcPr>
            <w:tcW w:type="dxa" w:w="2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YES</w:t>
            </w:r>
          </w:p>
        </w:tc>
        <w:tc>
          <w:tcPr>
            <w:tcW w:type="dxa" w:w="14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MEDIUM</w:t>
            </w:r>
          </w:p>
        </w:tc>
      </w:tr>
      <w:tr>
        <w:tc>
          <w:tcPr>
            <w:tcW w:type="dxa" w:w="7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8</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5A</w:t>
            </w:r>
          </w:p>
        </w:tc>
        <w:tc>
          <w:tcPr>
            <w:tcW w:type="dxa" w:w="15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Powder</w:t>
            </w:r>
          </w:p>
        </w:tc>
        <w:tc>
          <w:tcPr>
            <w:tcW w:type="dxa" w:w="14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15 wt%</w:t>
            </w:r>
          </w:p>
        </w:tc>
        <w:tc>
          <w:tcPr>
            <w:tcW w:type="dxa" w:w="2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YES</w:t>
            </w:r>
          </w:p>
        </w:tc>
        <w:tc>
          <w:tcPr>
            <w:tcW w:type="dxa" w:w="14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MEDIUM</w:t>
            </w:r>
          </w:p>
        </w:tc>
      </w:tr>
    </w:tbl>
    <w:p>
      <w:pPr>
        <w:spacing w:after="60"/>
      </w:pPr>
      <w:r>
        <w:rPr>
          <w:rFonts w:ascii="Calibri" w:cs="Calibri" w:eastAsia="Calibri" w:hAnsi="Calibri"/>
          <w:sz w:val="22"/>
          <w:szCs w:val="22"/>
        </w:rPr>
        <w:t xml:space="preserve"/>
      </w:r>
    </w:p>
    <w:p>
      <w:pPr>
        <w:spacing w:after="160"/>
        <w:ind w:left="360"/>
      </w:pPr>
      <w:r>
        <w:rPr>
          <w:rFonts w:ascii="Calibri" w:cs="Calibri" w:eastAsia="Calibri" w:hAnsi="Calibri"/>
          <w:b/>
          <w:bCs/>
          <w:color w:val="C0392B"/>
          <w:sz w:val="22"/>
          <w:szCs w:val="22"/>
        </w:rPr>
        <w:t xml:space="preserve">NOTE: </w:t>
      </w:r>
      <w:r>
        <w:rPr>
          <w:rFonts w:ascii="Calibri" w:cs="Calibri" w:eastAsia="Calibri" w:hAnsi="Calibri"/>
          <w:color w:val="C0392B"/>
          <w:sz w:val="22"/>
          <w:szCs w:val="22"/>
        </w:rPr>
        <w:t xml:space="preserve">Run 6 (13X Powder + Nano-AC) is highlighted as the predicted best-performing configuration and should be validated first as a sanity check.</w:t>
      </w:r>
    </w:p>
    <w:p>
      <w:pPr>
        <w:spacing w:after="6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0A2647"/>
          <w:sz w:val="26"/>
          <w:szCs w:val="26"/>
        </w:rPr>
        <w:t xml:space="preserve">4.1 How to Model Each Configuration in Simulation</w:t>
      </w:r>
    </w:p>
    <w:p>
      <w:pPr>
        <w:pStyle w:val="Heading3"/>
        <w:spacing w:after="80" w:before="200"/>
      </w:pPr>
      <w:r>
        <w:rPr>
          <w:rFonts w:ascii="Calibri" w:cs="Calibri" w:eastAsia="Calibri" w:hAnsi="Calibri"/>
          <w:b/>
          <w:bCs/>
          <w:color w:val="2C74B3"/>
          <w:sz w:val="24"/>
          <w:szCs w:val="24"/>
        </w:rPr>
        <w:t xml:space="preserve">Granular vs Powder Forms</w:t>
      </w:r>
    </w:p>
    <w:p>
      <w:pPr>
        <w:spacing w:after="180" w:line="340" w:lineRule="auto"/>
        <w:ind w:firstLine="504"/>
        <w:jc w:val="both"/>
      </w:pPr>
      <w:r>
        <w:rPr>
          <w:rFonts w:ascii="Calibri" w:cs="Calibri" w:eastAsia="Calibri" w:hAnsi="Calibri"/>
          <w:color w:val="000000"/>
          <w:sz w:val="22"/>
          <w:szCs w:val="22"/>
        </w:rPr>
        <w:t xml:space="preserve">In GCMC simulation using the crystal structure, both granular and powder configurations are modelled using the same unit cell — the crystal structure is identical. The difference between granular and powder is captured through a </w:t>
      </w:r>
      <w:r>
        <w:rPr>
          <w:rFonts w:ascii="Calibri" w:cs="Calibri" w:eastAsia="Calibri" w:hAnsi="Calibri"/>
          <w:b/>
          <w:bCs/>
          <w:color w:val="000000"/>
          <w:sz w:val="22"/>
          <w:szCs w:val="22"/>
        </w:rPr>
        <w:t xml:space="preserve">binder correction factor</w:t>
      </w:r>
      <w:r>
        <w:rPr>
          <w:rFonts w:ascii="Calibri" w:cs="Calibri" w:eastAsia="Calibri" w:hAnsi="Calibri"/>
          <w:color w:val="000000"/>
          <w:sz w:val="22"/>
          <w:szCs w:val="22"/>
        </w:rPr>
        <w:t xml:space="preserve"> applied to the granular results:</w:t>
      </w:r>
    </w:p>
    <w:p>
      <w:pPr>
        <w:pStyle w:val="ListParagraph"/>
        <w:numPr>
          <w:ilvl w:val="0"/>
          <w:numId w:val="1"/>
        </w:numPr>
        <w:spacing w:after="80"/>
        <w:ind w:left="504" w:hanging="288"/>
      </w:pPr>
      <w:r>
        <w:rPr>
          <w:rFonts w:ascii="Calibri" w:cs="Calibri" w:eastAsia="Calibri" w:hAnsi="Calibri"/>
          <w:b/>
          <w:bCs/>
          <w:sz w:val="22"/>
          <w:szCs w:val="22"/>
        </w:rPr>
        <w:t xml:space="preserve">Granular result</w:t>
      </w:r>
      <w:r>
        <w:rPr>
          <w:rFonts w:ascii="Calibri" w:cs="Calibri" w:eastAsia="Calibri" w:hAnsi="Calibri"/>
          <w:sz w:val="22"/>
          <w:szCs w:val="22"/>
        </w:rPr>
        <w:t xml:space="preserve"> = GCMC output × (1 − binder_fraction) = GCMC output × 0.825</w:t>
      </w:r>
    </w:p>
    <w:p>
      <w:pPr>
        <w:pStyle w:val="ListParagraph"/>
        <w:numPr>
          <w:ilvl w:val="0"/>
          <w:numId w:val="1"/>
        </w:numPr>
        <w:spacing w:after="80"/>
        <w:ind w:left="504" w:hanging="288"/>
      </w:pPr>
      <w:r>
        <w:rPr>
          <w:rFonts w:ascii="Calibri" w:cs="Calibri" w:eastAsia="Calibri" w:hAnsi="Calibri"/>
          <w:b/>
          <w:bCs/>
          <w:sz w:val="22"/>
          <w:szCs w:val="22"/>
        </w:rPr>
        <w:t xml:space="preserve">Powder result</w:t>
      </w:r>
      <w:r>
        <w:rPr>
          <w:rFonts w:ascii="Calibri" w:cs="Calibri" w:eastAsia="Calibri" w:hAnsi="Calibri"/>
          <w:sz w:val="22"/>
          <w:szCs w:val="22"/>
        </w:rPr>
        <w:t xml:space="preserve"> = GCMC output × 1.0 (no binder correction)</w:t>
      </w:r>
    </w:p>
    <w:p>
      <w:pPr>
        <w:pStyle w:val="ListParagraph"/>
        <w:numPr>
          <w:ilvl w:val="0"/>
          <w:numId w:val="1"/>
        </w:numPr>
        <w:spacing w:after="80"/>
        <w:ind w:left="504" w:hanging="288"/>
      </w:pPr>
      <w:r>
        <w:rPr>
          <w:rFonts w:ascii="Calibri" w:cs="Calibri" w:eastAsia="Calibri" w:hAnsi="Calibri"/>
          <w:sz w:val="22"/>
          <w:szCs w:val="22"/>
        </w:rPr>
        <w:t xml:space="preserve">Additionally apply a </w:t>
      </w:r>
      <w:r>
        <w:rPr>
          <w:rFonts w:ascii="Calibri" w:cs="Calibri" w:eastAsia="Calibri" w:hAnsi="Calibri"/>
          <w:b/>
          <w:bCs/>
          <w:sz w:val="22"/>
          <w:szCs w:val="22"/>
        </w:rPr>
        <w:t xml:space="preserve">powder kinetic enhancement of 1.15×</w:t>
      </w:r>
      <w:r>
        <w:rPr>
          <w:rFonts w:ascii="Calibri" w:cs="Calibri" w:eastAsia="Calibri" w:hAnsi="Calibri"/>
          <w:sz w:val="22"/>
          <w:szCs w:val="22"/>
        </w:rPr>
        <w:t xml:space="preserve"> to account for improved accessibility (from Erdogan et al., 2024)</w:t>
      </w:r>
    </w:p>
    <w:p>
      <w:pPr>
        <w:spacing w:after="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2C74B3"/>
          <w:sz w:val="24"/>
          <w:szCs w:val="24"/>
        </w:rPr>
        <w:t xml:space="preserve">Composite (Zeolite + Nano-AC) Configurations</w:t>
      </w:r>
    </w:p>
    <w:p>
      <w:pPr>
        <w:spacing w:after="180" w:line="340" w:lineRule="auto"/>
        <w:ind w:firstLine="504"/>
        <w:jc w:val="both"/>
      </w:pPr>
      <w:r>
        <w:rPr>
          <w:rFonts w:ascii="Calibri" w:cs="Calibri" w:eastAsia="Calibri" w:hAnsi="Calibri"/>
          <w:color w:val="000000"/>
          <w:sz w:val="22"/>
          <w:szCs w:val="22"/>
        </w:rPr>
        <w:t xml:space="preserve">For composite runs (5–8), two approaches are available:</w:t>
      </w:r>
    </w:p>
    <w:p>
      <w:pPr>
        <w:pStyle w:val="ListParagraph"/>
        <w:numPr>
          <w:ilvl w:val="0"/>
          <w:numId w:val="1"/>
        </w:numPr>
        <w:spacing w:after="80"/>
        <w:ind w:left="504" w:hanging="288"/>
      </w:pPr>
      <w:r>
        <w:rPr>
          <w:rFonts w:ascii="Calibri" w:cs="Calibri" w:eastAsia="Calibri" w:hAnsi="Calibri"/>
          <w:b/>
          <w:bCs/>
          <w:sz w:val="22"/>
          <w:szCs w:val="22"/>
        </w:rPr>
        <w:t xml:space="preserve">Approach A (preferred):</w:t>
      </w:r>
      <w:r>
        <w:rPr>
          <w:rFonts w:ascii="Calibri" w:cs="Calibri" w:eastAsia="Calibri" w:hAnsi="Calibri"/>
          <w:sz w:val="22"/>
          <w:szCs w:val="22"/>
        </w:rPr>
        <w:t xml:space="preserve"> Run GCMC separately for the zeolite and for the nano-AC model. Combine results using a weighted average: n_composite = 0.85 × n_zeolite + 0.15 × n_carbon, then apply the synergistic enhancement factor of 1.40 from Hauli et al. (2025).</w:t>
      </w:r>
    </w:p>
    <w:p>
      <w:pPr>
        <w:pStyle w:val="ListParagraph"/>
        <w:numPr>
          <w:ilvl w:val="0"/>
          <w:numId w:val="1"/>
        </w:numPr>
        <w:spacing w:after="80"/>
        <w:ind w:left="504" w:hanging="288"/>
      </w:pPr>
      <w:r>
        <w:rPr>
          <w:rFonts w:ascii="Calibri" w:cs="Calibri" w:eastAsia="Calibri" w:hAnsi="Calibri"/>
          <w:b/>
          <w:bCs/>
          <w:sz w:val="22"/>
          <w:szCs w:val="22"/>
        </w:rPr>
        <w:t xml:space="preserve">Approach B (simpler):</w:t>
      </w:r>
      <w:r>
        <w:rPr>
          <w:rFonts w:ascii="Calibri" w:cs="Calibri" w:eastAsia="Calibri" w:hAnsi="Calibri"/>
          <w:sz w:val="22"/>
          <w:szCs w:val="22"/>
        </w:rPr>
        <w:t xml:space="preserve"> Apply the composite enhancement factor directly to the plain zeolite result: n_composite = 1.40 × n_zeolite (granular or powder as appropriate).</w:t>
      </w:r>
    </w:p>
    <w:p>
      <w:pPr>
        <w:spacing w:after="60"/>
      </w:pPr>
      <w:r>
        <w:rPr>
          <w:rFonts w:ascii="Calibri" w:cs="Calibri" w:eastAsia="Calibri" w:hAnsi="Calibri"/>
          <w:sz w:val="22"/>
          <w:szCs w:val="22"/>
        </w:rPr>
        <w:t xml:space="preserve"/>
      </w:r>
    </w:p>
    <w:p>
      <w:pPr>
        <w:spacing w:after="160"/>
        <w:ind w:left="360"/>
      </w:pPr>
      <w:r>
        <w:rPr>
          <w:rFonts w:ascii="Calibri" w:cs="Calibri" w:eastAsia="Calibri" w:hAnsi="Calibri"/>
          <w:b/>
          <w:bCs/>
          <w:color w:val="C0392B"/>
          <w:sz w:val="22"/>
          <w:szCs w:val="22"/>
        </w:rPr>
        <w:t xml:space="preserve">NOTE: </w:t>
      </w:r>
      <w:r>
        <w:rPr>
          <w:rFonts w:ascii="Calibri" w:cs="Calibri" w:eastAsia="Calibri" w:hAnsi="Calibri"/>
          <w:color w:val="C0392B"/>
          <w:sz w:val="22"/>
          <w:szCs w:val="22"/>
        </w:rPr>
        <w:t xml:space="preserve">Approach B is acceptable if time is limited. The 1.40× factor is literature-justified and the thesis will document this clearly.</w:t>
      </w:r>
    </w:p>
    <w:p>
      <w:r>
        <w:br w:type="page"/>
      </w:r>
    </w:p>
    <w:p>
      <w:pPr>
        <w:pStyle w:val="Heading1"/>
        <w:pBdr>
          <w:bottom w:val="single" w:color="D4A24C" w:sz="8"/>
        </w:pBdr>
        <w:spacing w:after="160" w:before="400"/>
      </w:pPr>
      <w:r>
        <w:rPr>
          <w:rFonts w:ascii="Calibri" w:cs="Calibri" w:eastAsia="Calibri" w:hAnsi="Calibri"/>
          <w:b/>
          <w:bCs/>
          <w:color w:val="0A2647"/>
          <w:sz w:val="32"/>
          <w:szCs w:val="32"/>
        </w:rPr>
        <w:t xml:space="preserve">5. Number of Simulation Runs Required</w:t>
      </w:r>
    </w:p>
    <w:p>
      <w:pPr>
        <w:spacing w:after="180" w:line="340" w:lineRule="auto"/>
        <w:ind w:firstLine="504"/>
        <w:jc w:val="both"/>
      </w:pPr>
      <w:r>
        <w:rPr>
          <w:rFonts w:ascii="Calibri" w:cs="Calibri" w:eastAsia="Calibri" w:hAnsi="Calibri"/>
          <w:color w:val="000000"/>
          <w:sz w:val="22"/>
          <w:szCs w:val="22"/>
        </w:rPr>
        <w:t xml:space="preserve">The table below summarises the total number of simulation runs required. Each 'run' here means one GCMC or ML simulation at a specific configuration and pressure point.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000"/>
      </w:tblGrid>
      <w:tr>
        <w:trPr>
          <w:tblHeader/>
        </w:trPr>
        <w:tc>
          <w:tcPr>
            <w:tcW w:type="dxa" w:w="35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Item</w:t>
            </w:r>
          </w:p>
        </w:tc>
        <w:tc>
          <w:tcPr>
            <w:tcW w:type="dxa" w:w="15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Count</w:t>
            </w:r>
          </w:p>
        </w:tc>
        <w:tc>
          <w:tcPr>
            <w:tcW w:type="dxa" w:w="40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Detail</w:t>
            </w:r>
          </w:p>
        </w:tc>
      </w:tr>
      <w:tr>
        <w:tc>
          <w:tcPr>
            <w:tcW w:type="dxa" w:w="35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Material configurations</w:t>
            </w:r>
          </w:p>
        </w:tc>
        <w:tc>
          <w:tcPr>
            <w:tcW w:type="dxa" w:w="15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8</w:t>
            </w:r>
          </w:p>
        </w:tc>
        <w:tc>
          <w:tcPr>
            <w:tcW w:type="dxa" w:w="4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Runs 1–8 as defined in Section 4</w:t>
            </w:r>
          </w:p>
        </w:tc>
      </w:tr>
      <w:tr>
        <w:tc>
          <w:tcPr>
            <w:tcW w:type="dxa" w:w="35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Pressure points per configuration</w:t>
            </w:r>
          </w:p>
        </w:tc>
        <w:tc>
          <w:tcPr>
            <w:tcW w:type="dxa" w:w="15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5</w:t>
            </w:r>
          </w:p>
        </w:tc>
        <w:tc>
          <w:tcPr>
            <w:tcW w:type="dxa" w:w="4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1, 3, 5, 7, 10 bar</w:t>
            </w:r>
          </w:p>
        </w:tc>
      </w:tr>
      <w:tr>
        <w:tc>
          <w:tcPr>
            <w:tcW w:type="dxa" w:w="35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Base simulation runs</w:t>
            </w:r>
          </w:p>
        </w:tc>
        <w:tc>
          <w:tcPr>
            <w:tcW w:type="dxa" w:w="15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40</w:t>
            </w:r>
          </w:p>
        </w:tc>
        <w:tc>
          <w:tcPr>
            <w:tcW w:type="dxa" w:w="4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8 × 5 = 40 individual isotherm points</w:t>
            </w:r>
          </w:p>
        </w:tc>
      </w:tr>
      <w:tr>
        <w:tc>
          <w:tcPr>
            <w:tcW w:type="dxa" w:w="35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Validation runs (77 K benchmark)</w:t>
            </w:r>
          </w:p>
        </w:tc>
        <w:tc>
          <w:tcPr>
            <w:tcW w:type="dxa" w:w="15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10</w:t>
            </w:r>
          </w:p>
        </w:tc>
        <w:tc>
          <w:tcPr>
            <w:tcW w:type="dxa" w:w="40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Plain 13X and 5A at 77 K, 5 pressures each</w:t>
            </w:r>
          </w:p>
        </w:tc>
      </w:tr>
      <w:tr>
        <w:tc>
          <w:tcPr>
            <w:tcW w:type="dxa" w:w="35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Sensitivity runs (optional)</w:t>
            </w:r>
          </w:p>
        </w:tc>
        <w:tc>
          <w:tcPr>
            <w:tcW w:type="dxa" w:w="15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10</w:t>
            </w:r>
          </w:p>
        </w:tc>
        <w:tc>
          <w:tcPr>
            <w:tcW w:type="dxa" w:w="4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Vary q_st between 4 and 8 kJ/mol for uncertainty analysis</w:t>
            </w:r>
          </w:p>
        </w:tc>
      </w:tr>
      <w:tr>
        <w:tc>
          <w:tcPr>
            <w:tcW w:type="dxa" w:w="3500"/>
            <w:tcBorders>
              <w:top w:val="single" w:color="AAAAAA" w:sz="4"/>
              <w:left w:val="single" w:color="AAAAAA" w:sz="4"/>
              <w:bottom w:val="single" w:color="AAAAAA" w:sz="4"/>
              <w:right w:val="single" w:color="AAAAAA" w:sz="4"/>
            </w:tcBorders>
            <w:shd w:fill="FFF3CD"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**TOTAL MINIMUM**</w:t>
            </w:r>
          </w:p>
        </w:tc>
        <w:tc>
          <w:tcPr>
            <w:tcW w:type="dxa" w:w="1500"/>
            <w:tcBorders>
              <w:top w:val="single" w:color="AAAAAA" w:sz="4"/>
              <w:left w:val="single" w:color="AAAAAA" w:sz="4"/>
              <w:bottom w:val="single" w:color="AAAAAA" w:sz="4"/>
              <w:right w:val="single" w:color="AAAAAA" w:sz="4"/>
            </w:tcBorders>
            <w:shd w:fill="FFF3CD"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**50**</w:t>
            </w:r>
          </w:p>
        </w:tc>
        <w:tc>
          <w:tcPr>
            <w:tcW w:type="dxa" w:w="4000"/>
            <w:tcBorders>
              <w:top w:val="single" w:color="AAAAAA" w:sz="4"/>
              <w:left w:val="single" w:color="AAAAAA" w:sz="4"/>
              <w:bottom w:val="single" w:color="AAAAAA" w:sz="4"/>
              <w:right w:val="single" w:color="AAAAAA" w:sz="4"/>
            </w:tcBorders>
            <w:shd w:fill="FFF3CD"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40 production + 10 validation</w:t>
            </w:r>
          </w:p>
        </w:tc>
      </w:tr>
      <w:tr>
        <w:tc>
          <w:tcPr>
            <w:tcW w:type="dxa" w:w="35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TOTAL WITH SENSITIVITY</w:t>
            </w:r>
          </w:p>
        </w:tc>
        <w:tc>
          <w:tcPr>
            <w:tcW w:type="dxa" w:w="15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60</w:t>
            </w:r>
          </w:p>
        </w:tc>
        <w:tc>
          <w:tcPr>
            <w:tcW w:type="dxa" w:w="40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40 + 10 + 10</w:t>
            </w:r>
          </w:p>
        </w:tc>
      </w:tr>
    </w:tbl>
    <w:p>
      <w:pPr>
        <w:spacing w:after="60"/>
      </w:pPr>
      <w:r>
        <w:rPr>
          <w:rFonts w:ascii="Calibri" w:cs="Calibri" w:eastAsia="Calibri" w:hAnsi="Calibri"/>
          <w:sz w:val="22"/>
          <w:szCs w:val="22"/>
        </w:rPr>
        <w:t xml:space="preserve"/>
      </w:r>
    </w:p>
    <w:p>
      <w:pPr>
        <w:spacing w:after="180" w:line="340" w:lineRule="auto"/>
        <w:ind w:firstLine="504"/>
        <w:jc w:val="both"/>
      </w:pPr>
      <w:r>
        <w:rPr>
          <w:rFonts w:ascii="Calibri" w:cs="Calibri" w:eastAsia="Calibri" w:hAnsi="Calibri"/>
          <w:b/>
          <w:bCs/>
          <w:color w:val="000000"/>
          <w:sz w:val="22"/>
          <w:szCs w:val="22"/>
        </w:rPr>
        <w:t xml:space="preserve">Run order recommendation:</w:t>
      </w:r>
      <w:r>
        <w:rPr>
          <w:rFonts w:ascii="Calibri" w:cs="Calibri" w:eastAsia="Calibri" w:hAnsi="Calibri"/>
          <w:color w:val="000000"/>
          <w:sz w:val="22"/>
          <w:szCs w:val="22"/>
        </w:rPr>
        <w:t xml:space="preserve"> Complete the 10 validation runs at 77 K first and compare against Langmi et al. (2003) values before running the 195 K production simulations. If validation passes (within 15% of literature), proceed with production runs. If validation fails, the force field or structure requires adjustment before production results will be meaningful.</w:t>
      </w:r>
    </w:p>
    <w:p>
      <w:r>
        <w:br w:type="page"/>
      </w:r>
    </w:p>
    <w:p>
      <w:pPr>
        <w:pStyle w:val="Heading1"/>
        <w:pBdr>
          <w:bottom w:val="single" w:color="D4A24C" w:sz="8"/>
        </w:pBdr>
        <w:spacing w:after="160" w:before="400"/>
      </w:pPr>
      <w:r>
        <w:rPr>
          <w:rFonts w:ascii="Calibri" w:cs="Calibri" w:eastAsia="Calibri" w:hAnsi="Calibri"/>
          <w:b/>
          <w:bCs/>
          <w:color w:val="0A2647"/>
          <w:sz w:val="32"/>
          <w:szCs w:val="32"/>
        </w:rPr>
        <w:t xml:space="preserve">6. Validation Targets — What the Simulation Must Match</w:t>
      </w:r>
    </w:p>
    <w:p>
      <w:pPr>
        <w:spacing w:after="180" w:line="340" w:lineRule="auto"/>
        <w:ind w:firstLine="504"/>
        <w:jc w:val="both"/>
      </w:pPr>
      <w:r>
        <w:rPr>
          <w:rFonts w:ascii="Calibri" w:cs="Calibri" w:eastAsia="Calibri" w:hAnsi="Calibri"/>
          <w:color w:val="000000"/>
          <w:sz w:val="22"/>
          <w:szCs w:val="22"/>
        </w:rPr>
        <w:t xml:space="preserve">Before accepting any simulation results for use in the thesis, the simulator must verify that the model reproduces the following published experimental values within a tolerance of ±15%. These values are from Langmi et al. (2003) and represent the gold-standard benchmark for zeolite hydrogen storage.</w:t>
      </w:r>
    </w:p>
    <w:p>
      <w:pPr>
        <w:spacing w:after="100" w:before="160"/>
        <w:jc w:val="center"/>
      </w:pPr>
      <w:r>
        <w:rPr>
          <w:rFonts w:ascii="Calibri" w:cs="Calibri" w:eastAsia="Calibri" w:hAnsi="Calibri"/>
          <w:b/>
          <w:bCs/>
          <w:i/>
          <w:iCs/>
          <w:color w:val="444444"/>
          <w:sz w:val="22"/>
          <w:szCs w:val="22"/>
        </w:rPr>
        <w:t xml:space="preserve">Table 6.1: Validation targets — Langmi et al. (2003) at 77 K</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200"/>
        <w:gridCol w:w="2200"/>
      </w:tblGrid>
      <w:tr>
        <w:trPr>
          <w:tblHeader/>
        </w:trPr>
        <w:tc>
          <w:tcPr>
            <w:tcW w:type="dxa" w:w="18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Pressure (bar)</w:t>
            </w:r>
          </w:p>
        </w:tc>
        <w:tc>
          <w:tcPr>
            <w:tcW w:type="dxa" w:w="22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Zeolite 13X target (wt%)</w:t>
            </w:r>
          </w:p>
        </w:tc>
        <w:tc>
          <w:tcPr>
            <w:tcW w:type="dxa" w:w="22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Zeolite 5A target (wt%)</w:t>
            </w:r>
          </w:p>
        </w:tc>
        <w:tc>
          <w:tcPr>
            <w:tcW w:type="dxa" w:w="22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Acceptable range 13X</w:t>
            </w:r>
          </w:p>
        </w:tc>
        <w:tc>
          <w:tcPr>
            <w:tcW w:type="dxa" w:w="22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Acceptable range 5A</w:t>
            </w:r>
          </w:p>
        </w:tc>
      </w:tr>
      <w:tr>
        <w:tc>
          <w:tcPr>
            <w:tcW w:type="dxa" w:w="1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1</w:t>
            </w:r>
          </w:p>
        </w:tc>
        <w:tc>
          <w:tcPr>
            <w:tcW w:type="dxa" w:w="2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0.48</w:t>
            </w:r>
          </w:p>
        </w:tc>
        <w:tc>
          <w:tcPr>
            <w:tcW w:type="dxa" w:w="2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0.32</w:t>
            </w:r>
          </w:p>
        </w:tc>
        <w:tc>
          <w:tcPr>
            <w:tcW w:type="dxa" w:w="2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0.41 – 0.55</w:t>
            </w:r>
          </w:p>
        </w:tc>
        <w:tc>
          <w:tcPr>
            <w:tcW w:type="dxa" w:w="2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0.27 – 0.37</w:t>
            </w:r>
          </w:p>
        </w:tc>
      </w:tr>
      <w:tr>
        <w:tc>
          <w:tcPr>
            <w:tcW w:type="dxa" w:w="1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3</w:t>
            </w:r>
          </w:p>
        </w:tc>
        <w:tc>
          <w:tcPr>
            <w:tcW w:type="dxa" w:w="2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0.87</w:t>
            </w:r>
          </w:p>
        </w:tc>
        <w:tc>
          <w:tcPr>
            <w:tcW w:type="dxa" w:w="2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0.58</w:t>
            </w:r>
          </w:p>
        </w:tc>
        <w:tc>
          <w:tcPr>
            <w:tcW w:type="dxa" w:w="2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0.74 – 1.00</w:t>
            </w:r>
          </w:p>
        </w:tc>
        <w:tc>
          <w:tcPr>
            <w:tcW w:type="dxa" w:w="2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0.49 – 0.67</w:t>
            </w:r>
          </w:p>
        </w:tc>
      </w:tr>
      <w:tr>
        <w:tc>
          <w:tcPr>
            <w:tcW w:type="dxa" w:w="1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5</w:t>
            </w:r>
          </w:p>
        </w:tc>
        <w:tc>
          <w:tcPr>
            <w:tcW w:type="dxa" w:w="2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1.12</w:t>
            </w:r>
          </w:p>
        </w:tc>
        <w:tc>
          <w:tcPr>
            <w:tcW w:type="dxa" w:w="2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0.74</w:t>
            </w:r>
          </w:p>
        </w:tc>
        <w:tc>
          <w:tcPr>
            <w:tcW w:type="dxa" w:w="2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0.95 – 1.29</w:t>
            </w:r>
          </w:p>
        </w:tc>
        <w:tc>
          <w:tcPr>
            <w:tcW w:type="dxa" w:w="2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0.63 – 0.85</w:t>
            </w:r>
          </w:p>
        </w:tc>
      </w:tr>
      <w:tr>
        <w:tc>
          <w:tcPr>
            <w:tcW w:type="dxa" w:w="1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7</w:t>
            </w:r>
          </w:p>
        </w:tc>
        <w:tc>
          <w:tcPr>
            <w:tcW w:type="dxa" w:w="2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1.28</w:t>
            </w:r>
          </w:p>
        </w:tc>
        <w:tc>
          <w:tcPr>
            <w:tcW w:type="dxa" w:w="2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0.85</w:t>
            </w:r>
          </w:p>
        </w:tc>
        <w:tc>
          <w:tcPr>
            <w:tcW w:type="dxa" w:w="2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1.09 – 1.47</w:t>
            </w:r>
          </w:p>
        </w:tc>
        <w:tc>
          <w:tcPr>
            <w:tcW w:type="dxa" w:w="2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0.72 – 0.98</w:t>
            </w:r>
          </w:p>
        </w:tc>
      </w:tr>
      <w:tr>
        <w:tc>
          <w:tcPr>
            <w:tcW w:type="dxa" w:w="1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10</w:t>
            </w:r>
          </w:p>
        </w:tc>
        <w:tc>
          <w:tcPr>
            <w:tcW w:type="dxa" w:w="2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1.42</w:t>
            </w:r>
          </w:p>
        </w:tc>
        <w:tc>
          <w:tcPr>
            <w:tcW w:type="dxa" w:w="2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0.94</w:t>
            </w:r>
          </w:p>
        </w:tc>
        <w:tc>
          <w:tcPr>
            <w:tcW w:type="dxa" w:w="2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1.21 – 1.63</w:t>
            </w:r>
          </w:p>
        </w:tc>
        <w:tc>
          <w:tcPr>
            <w:tcW w:type="dxa" w:w="2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0.80 – 1.08</w:t>
            </w:r>
          </w:p>
        </w:tc>
      </w:tr>
    </w:tbl>
    <w:p>
      <w:pPr>
        <w:spacing w:after="60"/>
      </w:pPr>
      <w:r>
        <w:rPr>
          <w:rFonts w:ascii="Calibri" w:cs="Calibri" w:eastAsia="Calibri" w:hAnsi="Calibri"/>
          <w:sz w:val="22"/>
          <w:szCs w:val="22"/>
        </w:rPr>
        <w:t xml:space="preserve"/>
      </w:r>
    </w:p>
    <w:p>
      <w:pPr>
        <w:spacing w:after="160"/>
        <w:ind w:left="360"/>
      </w:pPr>
      <w:r>
        <w:rPr>
          <w:rFonts w:ascii="Calibri" w:cs="Calibri" w:eastAsia="Calibri" w:hAnsi="Calibri"/>
          <w:b/>
          <w:bCs/>
          <w:color w:val="C0392B"/>
          <w:sz w:val="22"/>
          <w:szCs w:val="22"/>
        </w:rPr>
        <w:t xml:space="preserve">NOTE: </w:t>
      </w:r>
      <w:r>
        <w:rPr>
          <w:rFonts w:ascii="Calibri" w:cs="Calibri" w:eastAsia="Calibri" w:hAnsi="Calibri"/>
          <w:color w:val="C0392B"/>
          <w:sz w:val="22"/>
          <w:szCs w:val="22"/>
        </w:rPr>
        <w:t xml:space="preserve">If the simulation output falls outside the acceptable range for more than 2 of the 5 pressure points for either zeolite, the simulation parameters must be reviewed before proceeding to 195 K production runs.</w:t>
      </w:r>
    </w:p>
    <w:p>
      <w:pPr>
        <w:spacing w:after="6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0A2647"/>
          <w:sz w:val="26"/>
          <w:szCs w:val="26"/>
        </w:rPr>
        <w:t xml:space="preserve">6.1 Temperature Correction Check</w:t>
      </w:r>
    </w:p>
    <w:p>
      <w:pPr>
        <w:spacing w:after="180" w:line="340" w:lineRule="auto"/>
        <w:ind w:firstLine="504"/>
        <w:jc w:val="both"/>
      </w:pPr>
      <w:r>
        <w:rPr>
          <w:rFonts w:ascii="Calibri" w:cs="Calibri" w:eastAsia="Calibri" w:hAnsi="Calibri"/>
          <w:color w:val="000000"/>
          <w:sz w:val="22"/>
          <w:szCs w:val="22"/>
        </w:rPr>
        <w:t xml:space="preserve">After validating at 77 K, apply the van 't Hoff correction to obtain expected values at 195 K using the formula:</w:t>
      </w:r>
    </w:p>
    <w:p>
      <w:pPr>
        <w:spacing w:after="160" w:before="120"/>
        <w:jc w:val="center"/>
      </w:pPr>
      <w:r>
        <w:rPr>
          <w:rFonts w:ascii="Courier New" w:cs="Courier New" w:eastAsia="Courier New" w:hAnsi="Courier New"/>
          <w:i/>
          <w:iCs/>
          <w:sz w:val="22"/>
          <w:szCs w:val="22"/>
        </w:rPr>
        <w:t xml:space="preserve">n(195K) / n(77K)  =  exp[(q_st / R) × (1/195 − 1/77)]  ≈  0.0228   (for q_st = 4 kJ/mol)</w:t>
      </w:r>
    </w:p>
    <w:p>
      <w:pPr>
        <w:spacing w:after="180" w:line="340" w:lineRule="auto"/>
        <w:ind w:firstLine="504"/>
        <w:jc w:val="both"/>
      </w:pPr>
      <w:r>
        <w:rPr>
          <w:rFonts w:ascii="Calibri" w:cs="Calibri" w:eastAsia="Calibri" w:hAnsi="Calibri"/>
          <w:color w:val="000000"/>
          <w:sz w:val="22"/>
          <w:szCs w:val="22"/>
        </w:rPr>
        <w:t xml:space="preserve">The simulation output at 195 K should be approximately 2.28% of the 77 K value at each pressure point (for the same material). If the simulation produces values significantly different from this ratio, it indicates either a force field temperature-dependence issue or an error in the temperature setting.</w:t>
      </w:r>
    </w:p>
    <w:p>
      <w:r>
        <w:br w:type="page"/>
      </w:r>
    </w:p>
    <w:p>
      <w:pPr>
        <w:pStyle w:val="Heading1"/>
        <w:pBdr>
          <w:bottom w:val="single" w:color="D4A24C" w:sz="8"/>
        </w:pBdr>
        <w:spacing w:after="160" w:before="400"/>
      </w:pPr>
      <w:r>
        <w:rPr>
          <w:rFonts w:ascii="Calibri" w:cs="Calibri" w:eastAsia="Calibri" w:hAnsi="Calibri"/>
          <w:b/>
          <w:bCs/>
          <w:color w:val="0A2647"/>
          <w:sz w:val="32"/>
          <w:szCs w:val="32"/>
        </w:rPr>
        <w:t xml:space="preserve">7. Required Simulation Outputs</w:t>
      </w:r>
    </w:p>
    <w:p>
      <w:pPr>
        <w:spacing w:after="180" w:line="340" w:lineRule="auto"/>
        <w:ind w:firstLine="504"/>
        <w:jc w:val="both"/>
      </w:pPr>
      <w:r>
        <w:rPr>
          <w:rFonts w:ascii="Calibri" w:cs="Calibri" w:eastAsia="Calibri" w:hAnsi="Calibri"/>
          <w:color w:val="000000"/>
          <w:sz w:val="22"/>
          <w:szCs w:val="22"/>
        </w:rPr>
        <w:t xml:space="preserve">The following outputs must be delivered by the simulator for use in Chapter 4 of the thesis. All outputs must be provided in the formats specified.</w:t>
      </w:r>
    </w:p>
    <w:p>
      <w:pPr>
        <w:pStyle w:val="Heading2"/>
        <w:spacing w:after="120" w:before="280"/>
      </w:pPr>
      <w:r>
        <w:rPr>
          <w:rFonts w:ascii="Calibri" w:cs="Calibri" w:eastAsia="Calibri" w:hAnsi="Calibri"/>
          <w:b/>
          <w:bCs/>
          <w:color w:val="0A2647"/>
          <w:sz w:val="26"/>
          <w:szCs w:val="26"/>
        </w:rPr>
        <w:t xml:space="preserve">7.1 Primary Output — Adsorption Isotherm Table</w:t>
      </w:r>
    </w:p>
    <w:p>
      <w:pPr>
        <w:spacing w:after="180" w:line="340" w:lineRule="auto"/>
        <w:ind w:firstLine="504"/>
        <w:jc w:val="both"/>
      </w:pPr>
      <w:r>
        <w:rPr>
          <w:rFonts w:ascii="Calibri" w:cs="Calibri" w:eastAsia="Calibri" w:hAnsi="Calibri"/>
          <w:color w:val="000000"/>
          <w:sz w:val="22"/>
          <w:szCs w:val="22"/>
        </w:rPr>
        <w:t xml:space="preserve">The main deliverable is a single master table in the following format (identical structure to Table 4.4 in the thesis Chapter 4 draft):</w:t>
      </w:r>
    </w:p>
    <w:p>
      <w:pPr>
        <w:spacing w:after="100" w:before="160"/>
        <w:jc w:val="center"/>
      </w:pPr>
      <w:r>
        <w:rPr>
          <w:rFonts w:ascii="Calibri" w:cs="Calibri" w:eastAsia="Calibri" w:hAnsi="Calibri"/>
          <w:b/>
          <w:bCs/>
          <w:i/>
          <w:iCs/>
          <w:color w:val="444444"/>
          <w:sz w:val="22"/>
          <w:szCs w:val="22"/>
        </w:rPr>
        <w:t xml:space="preserve">Required output format — master isotherm table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200"/>
        <w:gridCol w:w="1200"/>
        <w:gridCol w:w="1200"/>
        <w:gridCol w:w="1200"/>
        <w:gridCol w:w="1200"/>
      </w:tblGrid>
      <w:tr>
        <w:trPr>
          <w:tblHeader/>
        </w:trPr>
        <w:tc>
          <w:tcPr>
            <w:tcW w:type="dxa" w:w="7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Run</w:t>
            </w:r>
          </w:p>
        </w:tc>
        <w:tc>
          <w:tcPr>
            <w:tcW w:type="dxa" w:w="26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Configuration</w:t>
            </w:r>
          </w:p>
        </w:tc>
        <w:tc>
          <w:tcPr>
            <w:tcW w:type="dxa" w:w="12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1 bar (wt%)</w:t>
            </w:r>
          </w:p>
        </w:tc>
        <w:tc>
          <w:tcPr>
            <w:tcW w:type="dxa" w:w="12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3 bar (wt%)</w:t>
            </w:r>
          </w:p>
        </w:tc>
        <w:tc>
          <w:tcPr>
            <w:tcW w:type="dxa" w:w="12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5 bar (wt%)</w:t>
            </w:r>
          </w:p>
        </w:tc>
        <w:tc>
          <w:tcPr>
            <w:tcW w:type="dxa" w:w="12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7 bar (wt%)</w:t>
            </w:r>
          </w:p>
        </w:tc>
        <w:tc>
          <w:tcPr>
            <w:tcW w:type="dxa" w:w="12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10 bar (wt%)</w:t>
            </w:r>
          </w:p>
        </w:tc>
      </w:tr>
      <w:tr>
        <w:tc>
          <w:tcPr>
            <w:tcW w:type="dxa" w:w="7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1</w:t>
            </w:r>
          </w:p>
        </w:tc>
        <w:tc>
          <w:tcPr>
            <w:tcW w:type="dxa" w:w="26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13X Granular (plain)</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r>
      <w:tr>
        <w:tc>
          <w:tcPr>
            <w:tcW w:type="dxa" w:w="7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2</w:t>
            </w:r>
          </w:p>
        </w:tc>
        <w:tc>
          <w:tcPr>
            <w:tcW w:type="dxa" w:w="26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13X Powder (plain)</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r>
      <w:tr>
        <w:tc>
          <w:tcPr>
            <w:tcW w:type="dxa" w:w="7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3</w:t>
            </w:r>
          </w:p>
        </w:tc>
        <w:tc>
          <w:tcPr>
            <w:tcW w:type="dxa" w:w="26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5A Granular (plain)</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r>
      <w:tr>
        <w:tc>
          <w:tcPr>
            <w:tcW w:type="dxa" w:w="7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4</w:t>
            </w:r>
          </w:p>
        </w:tc>
        <w:tc>
          <w:tcPr>
            <w:tcW w:type="dxa" w:w="26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5A Powder (plain)</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r>
      <w:tr>
        <w:tc>
          <w:tcPr>
            <w:tcW w:type="dxa" w:w="7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5</w:t>
            </w:r>
          </w:p>
        </w:tc>
        <w:tc>
          <w:tcPr>
            <w:tcW w:type="dxa" w:w="26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13X Granular + Nano-AC</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r>
      <w:tr>
        <w:tc>
          <w:tcPr>
            <w:tcW w:type="dxa" w:w="7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6</w:t>
            </w:r>
          </w:p>
        </w:tc>
        <w:tc>
          <w:tcPr>
            <w:tcW w:type="dxa" w:w="26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13X Powder + Nano-AC</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r>
      <w:tr>
        <w:tc>
          <w:tcPr>
            <w:tcW w:type="dxa" w:w="7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7</w:t>
            </w:r>
          </w:p>
        </w:tc>
        <w:tc>
          <w:tcPr>
            <w:tcW w:type="dxa" w:w="26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5A Granular + Nano-AC</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r>
      <w:tr>
        <w:tc>
          <w:tcPr>
            <w:tcW w:type="dxa" w:w="7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8</w:t>
            </w:r>
          </w:p>
        </w:tc>
        <w:tc>
          <w:tcPr>
            <w:tcW w:type="dxa" w:w="26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5A Powder + Nano-AC</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w:t>
            </w:r>
          </w:p>
        </w:tc>
      </w:tr>
    </w:tbl>
    <w:p>
      <w:pPr>
        <w:spacing w:after="6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0A2647"/>
          <w:sz w:val="26"/>
          <w:szCs w:val="26"/>
        </w:rPr>
        <w:t xml:space="preserve">7.2 Additional Required Outputs</w:t>
      </w:r>
    </w:p>
    <w:p>
      <w:pPr>
        <w:pStyle w:val="ListParagraph"/>
        <w:numPr>
          <w:ilvl w:val="0"/>
          <w:numId w:val="1"/>
        </w:numPr>
        <w:spacing w:after="80"/>
        <w:ind w:left="504" w:hanging="288"/>
      </w:pPr>
      <w:r>
        <w:rPr>
          <w:rFonts w:ascii="Calibri" w:cs="Calibri" w:eastAsia="Calibri" w:hAnsi="Calibri"/>
          <w:b/>
          <w:bCs/>
          <w:sz w:val="22"/>
          <w:szCs w:val="22"/>
        </w:rPr>
        <w:t xml:space="preserve">Validation table:</w:t>
      </w:r>
      <w:r>
        <w:rPr>
          <w:rFonts w:ascii="Calibri" w:cs="Calibri" w:eastAsia="Calibri" w:hAnsi="Calibri"/>
          <w:sz w:val="22"/>
          <w:szCs w:val="22"/>
        </w:rPr>
        <w:t xml:space="preserve"> The simulated uptake values at 77 K for plain 13X and 5A, at all 5 pressure points, alongside the Langmi target values and the percentage error for each point.</w:t>
      </w:r>
    </w:p>
    <w:p>
      <w:pPr>
        <w:pStyle w:val="ListParagraph"/>
        <w:numPr>
          <w:ilvl w:val="0"/>
          <w:numId w:val="1"/>
        </w:numPr>
        <w:spacing w:after="80"/>
        <w:ind w:left="504" w:hanging="288"/>
      </w:pPr>
      <w:r>
        <w:rPr>
          <w:rFonts w:ascii="Calibri" w:cs="Calibri" w:eastAsia="Calibri" w:hAnsi="Calibri"/>
          <w:b/>
          <w:bCs/>
          <w:sz w:val="22"/>
          <w:szCs w:val="22"/>
        </w:rPr>
        <w:t xml:space="preserve">Isotherm plots:</w:t>
      </w:r>
      <w:r>
        <w:rPr>
          <w:rFonts w:ascii="Calibri" w:cs="Calibri" w:eastAsia="Calibri" w:hAnsi="Calibri"/>
          <w:sz w:val="22"/>
          <w:szCs w:val="22"/>
        </w:rPr>
        <w:t xml:space="preserve"> A single figure showing all 8 predicted isotherms on one graph (uptake in wt% on y-axis, pressure in bar on x-axis, each configuration as a separate line). PNG or SVG format, minimum 300 dpi.</w:t>
      </w:r>
    </w:p>
    <w:p>
      <w:pPr>
        <w:pStyle w:val="ListParagraph"/>
        <w:numPr>
          <w:ilvl w:val="0"/>
          <w:numId w:val="1"/>
        </w:numPr>
        <w:spacing w:after="80"/>
        <w:ind w:left="504" w:hanging="288"/>
      </w:pPr>
      <w:r>
        <w:rPr>
          <w:rFonts w:ascii="Calibri" w:cs="Calibri" w:eastAsia="Calibri" w:hAnsi="Calibri"/>
          <w:b/>
          <w:bCs/>
          <w:sz w:val="22"/>
          <w:szCs w:val="22"/>
        </w:rPr>
        <w:t xml:space="preserve">Force field / model parameters used:</w:t>
      </w:r>
      <w:r>
        <w:rPr>
          <w:rFonts w:ascii="Calibri" w:cs="Calibri" w:eastAsia="Calibri" w:hAnsi="Calibri"/>
          <w:sz w:val="22"/>
          <w:szCs w:val="22"/>
        </w:rPr>
        <w:t xml:space="preserve"> A brief summary (half a page) of exactly which force field, crystal structures, and simulation settings were used — required for the thesis methodology section.</w:t>
      </w:r>
    </w:p>
    <w:p>
      <w:pPr>
        <w:pStyle w:val="ListParagraph"/>
        <w:numPr>
          <w:ilvl w:val="0"/>
          <w:numId w:val="1"/>
        </w:numPr>
        <w:spacing w:after="80"/>
        <w:ind w:left="504" w:hanging="288"/>
      </w:pPr>
      <w:r>
        <w:rPr>
          <w:rFonts w:ascii="Calibri" w:cs="Calibri" w:eastAsia="Calibri" w:hAnsi="Calibri"/>
          <w:b/>
          <w:bCs/>
          <w:sz w:val="22"/>
          <w:szCs w:val="22"/>
        </w:rPr>
        <w:t xml:space="preserve">Convergence evidence:</w:t>
      </w:r>
      <w:r>
        <w:rPr>
          <w:rFonts w:ascii="Calibri" w:cs="Calibri" w:eastAsia="Calibri" w:hAnsi="Calibri"/>
          <w:sz w:val="22"/>
          <w:szCs w:val="22"/>
        </w:rPr>
        <w:t xml:space="preserve"> For GCMC, provide the production cycle count and a plot or table showing that uptake has converged (i.e. does not change with further cycles). This is required for academic credibility.</w:t>
      </w:r>
    </w:p>
    <w:p>
      <w:pPr>
        <w:pStyle w:val="ListParagraph"/>
        <w:numPr>
          <w:ilvl w:val="0"/>
          <w:numId w:val="1"/>
        </w:numPr>
        <w:spacing w:after="80"/>
        <w:ind w:left="504" w:hanging="288"/>
      </w:pPr>
      <w:r>
        <w:rPr>
          <w:rFonts w:ascii="Calibri" w:cs="Calibri" w:eastAsia="Calibri" w:hAnsi="Calibri"/>
          <w:b/>
          <w:bCs/>
          <w:sz w:val="22"/>
          <w:szCs w:val="22"/>
        </w:rPr>
        <w:t xml:space="preserve">Uncertainty estimate:</w:t>
      </w:r>
      <w:r>
        <w:rPr>
          <w:rFonts w:ascii="Calibri" w:cs="Calibri" w:eastAsia="Calibri" w:hAnsi="Calibri"/>
          <w:sz w:val="22"/>
          <w:szCs w:val="22"/>
        </w:rPr>
        <w:t xml:space="preserve"> For each configuration, an estimate of the simulation uncertainty (standard deviation across multiple runs or cycle blocks) expressed in wt%.</w:t>
      </w:r>
    </w:p>
    <w:p>
      <w:pPr>
        <w:spacing w:after="6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0A2647"/>
          <w:sz w:val="26"/>
          <w:szCs w:val="26"/>
        </w:rPr>
        <w:t xml:space="preserve">7.3 File Formats Required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00"/>
      </w:tblGrid>
      <w:tr>
        <w:trPr>
          <w:tblHeader/>
        </w:trPr>
        <w:tc>
          <w:tcPr>
            <w:tcW w:type="dxa" w:w="28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Deliverable</w:t>
            </w:r>
          </w:p>
        </w:tc>
        <w:tc>
          <w:tcPr>
            <w:tcW w:type="dxa" w:w="26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Format</w:t>
            </w:r>
          </w:p>
        </w:tc>
        <w:tc>
          <w:tcPr>
            <w:tcW w:type="dxa" w:w="36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Notes</w:t>
            </w:r>
          </w:p>
        </w:tc>
      </w:tr>
      <w:tr>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Master isotherm table</w:t>
            </w:r>
          </w:p>
        </w:tc>
        <w:tc>
          <w:tcPr>
            <w:tcW w:type="dxa" w:w="26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Excel (.xlsx) AND Word (.docx)</w:t>
            </w:r>
          </w:p>
        </w:tc>
        <w:tc>
          <w:tcPr>
            <w:tcW w:type="dxa" w:w="36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Both formats required</w:t>
            </w:r>
          </w:p>
        </w:tc>
      </w:tr>
      <w:tr>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Isotherm plots</w:t>
            </w:r>
          </w:p>
        </w:tc>
        <w:tc>
          <w:tcPr>
            <w:tcW w:type="dxa" w:w="26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PNG (300 dpi minimum)</w:t>
            </w:r>
          </w:p>
        </w:tc>
        <w:tc>
          <w:tcPr>
            <w:tcW w:type="dxa" w:w="36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One combined figure, all 8 runs</w:t>
            </w:r>
          </w:p>
        </w:tc>
      </w:tr>
      <w:tr>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Validation table</w:t>
            </w:r>
          </w:p>
        </w:tc>
        <w:tc>
          <w:tcPr>
            <w:tcW w:type="dxa" w:w="26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Excel (.xlsx)</w:t>
            </w:r>
          </w:p>
        </w:tc>
        <w:tc>
          <w:tcPr>
            <w:tcW w:type="dxa" w:w="36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
            </w:r>
          </w:p>
        </w:tc>
      </w:tr>
      <w:tr>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Force field summary</w:t>
            </w:r>
          </w:p>
        </w:tc>
        <w:tc>
          <w:tcPr>
            <w:tcW w:type="dxa" w:w="26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Word (.docx) or PDF</w:t>
            </w:r>
          </w:p>
        </w:tc>
        <w:tc>
          <w:tcPr>
            <w:tcW w:type="dxa" w:w="36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Half to one page</w:t>
            </w:r>
          </w:p>
        </w:tc>
      </w:tr>
      <w:tr>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Convergence evidence</w:t>
            </w:r>
          </w:p>
        </w:tc>
        <w:tc>
          <w:tcPr>
            <w:tcW w:type="dxa" w:w="26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Any readable format</w:t>
            </w:r>
          </w:p>
        </w:tc>
        <w:tc>
          <w:tcPr>
            <w:tcW w:type="dxa" w:w="36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
            </w:r>
          </w:p>
        </w:tc>
      </w:tr>
      <w:tr>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Raw simulation output</w:t>
            </w:r>
          </w:p>
        </w:tc>
        <w:tc>
          <w:tcPr>
            <w:tcW w:type="dxa" w:w="26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Any format</w:t>
            </w:r>
          </w:p>
        </w:tc>
        <w:tc>
          <w:tcPr>
            <w:tcW w:type="dxa" w:w="36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For archive / reproducibility</w:t>
            </w:r>
          </w:p>
        </w:tc>
      </w:tr>
    </w:tbl>
    <w:p>
      <w:r>
        <w:br w:type="page"/>
      </w:r>
    </w:p>
    <w:p>
      <w:pPr>
        <w:pStyle w:val="Heading1"/>
        <w:pBdr>
          <w:bottom w:val="single" w:color="D4A24C" w:sz="8"/>
        </w:pBdr>
        <w:spacing w:after="160" w:before="400"/>
      </w:pPr>
      <w:r>
        <w:rPr>
          <w:rFonts w:ascii="Calibri" w:cs="Calibri" w:eastAsia="Calibri" w:hAnsi="Calibri"/>
          <w:b/>
          <w:bCs/>
          <w:color w:val="0A2647"/>
          <w:sz w:val="32"/>
          <w:szCs w:val="32"/>
        </w:rPr>
        <w:t xml:space="preserve">8. Crystal Structure Files and Where to Get Them</w:t>
      </w:r>
    </w:p>
    <w:p>
      <w:pPr>
        <w:spacing w:after="180" w:line="340" w:lineRule="auto"/>
        <w:ind w:firstLine="504"/>
        <w:jc w:val="both"/>
      </w:pPr>
      <w:r>
        <w:rPr>
          <w:rFonts w:ascii="Calibri" w:cs="Calibri" w:eastAsia="Calibri" w:hAnsi="Calibri"/>
          <w:color w:val="000000"/>
          <w:sz w:val="22"/>
          <w:szCs w:val="22"/>
        </w:rPr>
        <w:t xml:space="preserve">For GCMC simulation, the simulator requires crystallographic information files (.cif format) for the zeolite frameworks. These are freely available from the International Zeolite Association (IZA) Structure Database.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200"/>
        <w:gridCol w:w="2600"/>
      </w:tblGrid>
      <w:tr>
        <w:trPr>
          <w:tblHeader/>
        </w:trPr>
        <w:tc>
          <w:tcPr>
            <w:tcW w:type="dxa" w:w="16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Zeolite</w:t>
            </w:r>
          </w:p>
        </w:tc>
        <w:tc>
          <w:tcPr>
            <w:tcW w:type="dxa" w:w="16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Framework Code</w:t>
            </w:r>
          </w:p>
        </w:tc>
        <w:tc>
          <w:tcPr>
            <w:tcW w:type="dxa" w:w="32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Download URL</w:t>
            </w:r>
          </w:p>
        </w:tc>
        <w:tc>
          <w:tcPr>
            <w:tcW w:type="dxa" w:w="26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Notes</w:t>
            </w:r>
          </w:p>
        </w:tc>
      </w:tr>
      <w:tr>
        <w:tc>
          <w:tcPr>
            <w:tcW w:type="dxa" w:w="16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Zeolite 13X</w:t>
            </w:r>
          </w:p>
        </w:tc>
        <w:tc>
          <w:tcPr>
            <w:tcW w:type="dxa" w:w="16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FAU</w:t>
            </w:r>
          </w:p>
        </w:tc>
        <w:tc>
          <w:tcPr>
            <w:tcW w:type="dxa" w:w="3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iza-structure.org/databases/</w:t>
            </w:r>
          </w:p>
        </w:tc>
        <w:tc>
          <w:tcPr>
            <w:tcW w:type="dxa" w:w="26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Download FAU.cif — use the Na-exchanged form</w:t>
            </w:r>
          </w:p>
        </w:tc>
      </w:tr>
      <w:tr>
        <w:tc>
          <w:tcPr>
            <w:tcW w:type="dxa" w:w="16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Zeolite 5A</w:t>
            </w:r>
          </w:p>
        </w:tc>
        <w:tc>
          <w:tcPr>
            <w:tcW w:type="dxa" w:w="16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LTA</w:t>
            </w:r>
          </w:p>
        </w:tc>
        <w:tc>
          <w:tcPr>
            <w:tcW w:type="dxa" w:w="3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iza-structure.org/databases/</w:t>
            </w:r>
          </w:p>
        </w:tc>
        <w:tc>
          <w:tcPr>
            <w:tcW w:type="dxa" w:w="26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Download LTA.cif — modify cation to Ca²⁺/Na⁺</w:t>
            </w:r>
          </w:p>
        </w:tc>
      </w:tr>
      <w:tr>
        <w:tc>
          <w:tcPr>
            <w:tcW w:type="dxa" w:w="16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Nano-AC</w:t>
            </w:r>
          </w:p>
        </w:tc>
        <w:tc>
          <w:tcPr>
            <w:tcW w:type="dxa" w:w="16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N/A — amorphous</w:t>
            </w:r>
          </w:p>
        </w:tc>
        <w:tc>
          <w:tcPr>
            <w:tcW w:type="dxa" w:w="3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Generate slit-pore model in RASPA or use carbon nanotube template</w:t>
            </w:r>
          </w:p>
        </w:tc>
        <w:tc>
          <w:tcPr>
            <w:tcW w:type="dxa" w:w="26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No CIF available — use model structure</w:t>
            </w:r>
          </w:p>
        </w:tc>
      </w:tr>
    </w:tbl>
    <w:p>
      <w:pPr>
        <w:spacing w:after="60"/>
      </w:pPr>
      <w:r>
        <w:rPr>
          <w:rFonts w:ascii="Calibri" w:cs="Calibri" w:eastAsia="Calibri" w:hAnsi="Calibri"/>
          <w:sz w:val="22"/>
          <w:szCs w:val="22"/>
        </w:rPr>
        <w:t xml:space="preserve"/>
      </w:r>
    </w:p>
    <w:p>
      <w:pPr>
        <w:spacing w:after="160"/>
        <w:ind w:left="360"/>
      </w:pPr>
      <w:r>
        <w:rPr>
          <w:rFonts w:ascii="Calibri" w:cs="Calibri" w:eastAsia="Calibri" w:hAnsi="Calibri"/>
          <w:b/>
          <w:bCs/>
          <w:color w:val="C0392B"/>
          <w:sz w:val="22"/>
          <w:szCs w:val="22"/>
        </w:rPr>
        <w:t xml:space="preserve">NOTE: </w:t>
      </w:r>
      <w:r>
        <w:rPr>
          <w:rFonts w:ascii="Calibri" w:cs="Calibri" w:eastAsia="Calibri" w:hAnsi="Calibri"/>
          <w:color w:val="C0392B"/>
          <w:sz w:val="22"/>
          <w:szCs w:val="22"/>
        </w:rPr>
        <w:t xml:space="preserve">The IZA structure files represent idealised crystalline frameworks. For a more realistic simulation, the extra-framework cation positions (Na⁺ for 13X, Ca²⁺/Na⁺ for 5A) must be placed correctly within the unit cell. RASPA2 has built-in support for common zeolite cation configurations.</w:t>
      </w:r>
    </w:p>
    <w:p>
      <w:r>
        <w:br w:type="page"/>
      </w:r>
    </w:p>
    <w:p>
      <w:pPr>
        <w:pStyle w:val="Heading1"/>
        <w:pBdr>
          <w:bottom w:val="single" w:color="D4A24C" w:sz="8"/>
        </w:pBdr>
        <w:spacing w:after="160" w:before="400"/>
      </w:pPr>
      <w:r>
        <w:rPr>
          <w:rFonts w:ascii="Calibri" w:cs="Calibri" w:eastAsia="Calibri" w:hAnsi="Calibri"/>
          <w:b/>
          <w:bCs/>
          <w:color w:val="0A2647"/>
          <w:sz w:val="32"/>
          <w:szCs w:val="32"/>
        </w:rPr>
        <w:t xml:space="preserve">9. Key Literature References for the Simulator</w:t>
      </w:r>
    </w:p>
    <w:p>
      <w:pPr>
        <w:spacing w:after="180" w:line="340" w:lineRule="auto"/>
        <w:ind w:firstLine="504"/>
        <w:jc w:val="both"/>
      </w:pPr>
      <w:r>
        <w:rPr>
          <w:rFonts w:ascii="Calibri" w:cs="Calibri" w:eastAsia="Calibri" w:hAnsi="Calibri"/>
          <w:color w:val="000000"/>
          <w:sz w:val="22"/>
          <w:szCs w:val="22"/>
        </w:rPr>
        <w:t xml:space="preserve">The simulator should be aware of the following references. These are the papers that establish the experimental baseline against which simulation results will be compared.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00"/>
      </w:tblGrid>
      <w:tr>
        <w:trPr>
          <w:tblHeader/>
        </w:trPr>
        <w:tc>
          <w:tcPr>
            <w:tcW w:type="dxa" w:w="28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Reference</w:t>
            </w:r>
          </w:p>
        </w:tc>
        <w:tc>
          <w:tcPr>
            <w:tcW w:type="dxa" w:w="28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What it provides</w:t>
            </w:r>
          </w:p>
        </w:tc>
        <w:tc>
          <w:tcPr>
            <w:tcW w:type="dxa" w:w="34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Relevance to simulation</w:t>
            </w:r>
          </w:p>
        </w:tc>
      </w:tr>
      <w:tr>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Langmi et al. (2003)
J. Alloys Compd. 356–357, 710–715</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Baseline H₂ uptake for 13X and 5A at 77 K across 0–15 bar</w:t>
            </w:r>
          </w:p>
        </w:tc>
        <w:tc>
          <w:tcPr>
            <w:tcW w:type="dxa" w:w="34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PRIMARY VALIDATION TARGET — simulation must reproduce these values</w:t>
            </w:r>
          </w:p>
        </w:tc>
      </w:tr>
      <w:tr>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Vitillo et al. (2005)
J. Phys. Chem. B</w:t>
            </w:r>
          </w:p>
        </w:tc>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Isosteric heats of adsorption 4–8 kJ/mol for zeolites</w:t>
            </w:r>
          </w:p>
        </w:tc>
        <w:tc>
          <w:tcPr>
            <w:tcW w:type="dxa" w:w="34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Sets the q_st parameter for force field and van 't Hoff correction</w:t>
            </w:r>
          </w:p>
        </w:tc>
      </w:tr>
      <w:tr>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Bénard &amp; Chahine (2007)
Langmuir 23, 6905</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Thermodynamic limits of room-temperature physisorption</w:t>
            </w:r>
          </w:p>
        </w:tc>
        <w:tc>
          <w:tcPr>
            <w:tcW w:type="dxa" w:w="34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Contextualises the low uptake at 195 K</w:t>
            </w:r>
          </w:p>
        </w:tc>
      </w:tr>
      <w:tr>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Erdogan et al. (2024)
Int. J. Hydrogen Energy</w:t>
            </w:r>
          </w:p>
        </w:tc>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FAU/MOR/MTW comparison + zeolite-carbon composites</w:t>
            </w:r>
          </w:p>
        </w:tc>
        <w:tc>
          <w:tcPr>
            <w:tcW w:type="dxa" w:w="34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Provides powder enhancement factor and composite behaviour data</w:t>
            </w:r>
          </w:p>
        </w:tc>
      </w:tr>
      <w:tr>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Hauli et al. (2025)
Chem. J. Moldova</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Zeolite + activated charcoal composite — 30–50% enhancement</w:t>
            </w:r>
          </w:p>
        </w:tc>
        <w:tc>
          <w:tcPr>
            <w:tcW w:type="dxa" w:w="34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Source of the 1.40× composite enhancement factor</w:t>
            </w:r>
          </w:p>
        </w:tc>
      </w:tr>
      <w:tr>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Akyalcin et al. (2024)
Microporous Mesoporous Mater.</w:t>
            </w:r>
          </w:p>
        </w:tc>
        <w:tc>
          <w:tcPr>
            <w:tcW w:type="dxa" w:w="28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Acid-treated clinoptilolite, PVT method</w:t>
            </w:r>
          </w:p>
        </w:tc>
        <w:tc>
          <w:tcPr>
            <w:tcW w:type="dxa" w:w="34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Secondary validation reference</w:t>
            </w:r>
          </w:p>
        </w:tc>
      </w:tr>
      <w:tr>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Buch (1994) / Darkrim-Levesque (1998)</w:t>
            </w:r>
          </w:p>
        </w:tc>
        <w:tc>
          <w:tcPr>
            <w:tcW w:type="dxa" w:w="28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H₂ force field parameters</w:t>
            </w:r>
          </w:p>
        </w:tc>
        <w:tc>
          <w:tcPr>
            <w:tcW w:type="dxa" w:w="34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Required for GCMC simulation setup</w:t>
            </w:r>
          </w:p>
        </w:tc>
      </w:tr>
    </w:tbl>
    <w:p>
      <w:r>
        <w:br w:type="page"/>
      </w:r>
    </w:p>
    <w:p>
      <w:pPr>
        <w:pStyle w:val="Heading1"/>
        <w:pBdr>
          <w:bottom w:val="single" w:color="D4A24C" w:sz="8"/>
        </w:pBdr>
        <w:spacing w:after="160" w:before="400"/>
      </w:pPr>
      <w:r>
        <w:rPr>
          <w:rFonts w:ascii="Calibri" w:cs="Calibri" w:eastAsia="Calibri" w:hAnsi="Calibri"/>
          <w:b/>
          <w:bCs/>
          <w:color w:val="0A2647"/>
          <w:sz w:val="32"/>
          <w:szCs w:val="32"/>
        </w:rPr>
        <w:t xml:space="preserve">10. Summary Checklist for the Simulator</w:t>
      </w:r>
    </w:p>
    <w:p>
      <w:pPr>
        <w:spacing w:after="180" w:line="340" w:lineRule="auto"/>
        <w:ind w:firstLine="504"/>
        <w:jc w:val="both"/>
      </w:pPr>
      <w:r>
        <w:rPr>
          <w:rFonts w:ascii="Calibri" w:cs="Calibri" w:eastAsia="Calibri" w:hAnsi="Calibri"/>
          <w:color w:val="000000"/>
          <w:sz w:val="22"/>
          <w:szCs w:val="22"/>
        </w:rPr>
        <w:t xml:space="preserve">Before delivering results, the simulator should confirm all of the following:</w:t>
      </w:r>
    </w:p>
    <w:p>
      <w:pPr>
        <w:spacing w:after="6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0A2647"/>
          <w:sz w:val="26"/>
          <w:szCs w:val="26"/>
        </w:rPr>
        <w:t xml:space="preserve">Setup Checklist</w:t>
      </w:r>
    </w:p>
    <w:p>
      <w:pPr>
        <w:pStyle w:val="ListParagraph"/>
        <w:numPr>
          <w:ilvl w:val="0"/>
          <w:numId w:val="1"/>
        </w:numPr>
        <w:spacing w:after="80"/>
        <w:ind w:left="504" w:hanging="288"/>
      </w:pPr>
      <w:r>
        <w:rPr>
          <w:rFonts w:ascii="Calibri" w:cs="Calibri" w:eastAsia="Calibri" w:hAnsi="Calibri"/>
          <w:sz w:val="22"/>
          <w:szCs w:val="22"/>
        </w:rPr>
        <w:t xml:space="preserve">✓  Crystal structure files (.cif) obtained for FAU (13X) and LTA (5A) from IZA database</w:t>
      </w:r>
    </w:p>
    <w:p>
      <w:pPr>
        <w:pStyle w:val="ListParagraph"/>
        <w:numPr>
          <w:ilvl w:val="0"/>
          <w:numId w:val="1"/>
        </w:numPr>
        <w:spacing w:after="80"/>
        <w:ind w:left="504" w:hanging="288"/>
      </w:pPr>
      <w:r>
        <w:rPr>
          <w:rFonts w:ascii="Calibri" w:cs="Calibri" w:eastAsia="Calibri" w:hAnsi="Calibri"/>
          <w:sz w:val="22"/>
          <w:szCs w:val="22"/>
        </w:rPr>
        <w:t xml:space="preserve">✓  Hydrogen force field selected (Buch 1994 recommended)</w:t>
      </w:r>
    </w:p>
    <w:p>
      <w:pPr>
        <w:pStyle w:val="ListParagraph"/>
        <w:numPr>
          <w:ilvl w:val="0"/>
          <w:numId w:val="1"/>
        </w:numPr>
        <w:spacing w:after="80"/>
        <w:ind w:left="504" w:hanging="288"/>
      </w:pPr>
      <w:r>
        <w:rPr>
          <w:rFonts w:ascii="Calibri" w:cs="Calibri" w:eastAsia="Calibri" w:hAnsi="Calibri"/>
          <w:sz w:val="22"/>
          <w:szCs w:val="22"/>
        </w:rPr>
        <w:t xml:space="preserve">✓  Zeolite force field selected (UFF or Dreiding for framework atoms)</w:t>
      </w:r>
    </w:p>
    <w:p>
      <w:pPr>
        <w:pStyle w:val="ListParagraph"/>
        <w:numPr>
          <w:ilvl w:val="0"/>
          <w:numId w:val="1"/>
        </w:numPr>
        <w:spacing w:after="80"/>
        <w:ind w:left="504" w:hanging="288"/>
      </w:pPr>
      <w:r>
        <w:rPr>
          <w:rFonts w:ascii="Calibri" w:cs="Calibri" w:eastAsia="Calibri" w:hAnsi="Calibri"/>
          <w:sz w:val="22"/>
          <w:szCs w:val="22"/>
        </w:rPr>
        <w:t xml:space="preserve">✓  Extra-framework cations (Na⁺ for 13X, Ca²⁺/Na⁺ for 5A) correctly placed</w:t>
      </w:r>
    </w:p>
    <w:p>
      <w:pPr>
        <w:pStyle w:val="ListParagraph"/>
        <w:numPr>
          <w:ilvl w:val="0"/>
          <w:numId w:val="1"/>
        </w:numPr>
        <w:spacing w:after="80"/>
        <w:ind w:left="504" w:hanging="288"/>
      </w:pPr>
      <w:r>
        <w:rPr>
          <w:rFonts w:ascii="Calibri" w:cs="Calibri" w:eastAsia="Calibri" w:hAnsi="Calibri"/>
          <w:sz w:val="22"/>
          <w:szCs w:val="22"/>
        </w:rPr>
        <w:t xml:space="preserve">✓  Temperature set to 195 K</w:t>
      </w:r>
    </w:p>
    <w:p>
      <w:pPr>
        <w:pStyle w:val="ListParagraph"/>
        <w:numPr>
          <w:ilvl w:val="0"/>
          <w:numId w:val="1"/>
        </w:numPr>
        <w:spacing w:after="80"/>
        <w:ind w:left="504" w:hanging="288"/>
      </w:pPr>
      <w:r>
        <w:rPr>
          <w:rFonts w:ascii="Calibri" w:cs="Calibri" w:eastAsia="Calibri" w:hAnsi="Calibri"/>
          <w:sz w:val="22"/>
          <w:szCs w:val="22"/>
        </w:rPr>
        <w:t xml:space="preserve">✓  Pressure points: 1, 3, 5, 7, 10 bar</w:t>
      </w:r>
    </w:p>
    <w:p>
      <w:pPr>
        <w:pStyle w:val="ListParagraph"/>
        <w:numPr>
          <w:ilvl w:val="0"/>
          <w:numId w:val="1"/>
        </w:numPr>
        <w:spacing w:after="80"/>
        <w:ind w:left="504" w:hanging="288"/>
      </w:pPr>
      <w:r>
        <w:rPr>
          <w:rFonts w:ascii="Calibri" w:cs="Calibri" w:eastAsia="Calibri" w:hAnsi="Calibri"/>
          <w:sz w:val="22"/>
          <w:szCs w:val="22"/>
        </w:rPr>
        <w:t xml:space="preserve">✓  Grand canonical ensemble (fixed μ, V, T) confirmed</w:t>
      </w:r>
    </w:p>
    <w:p>
      <w:pPr>
        <w:spacing w:after="6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0A2647"/>
          <w:sz w:val="26"/>
          <w:szCs w:val="26"/>
        </w:rPr>
        <w:t xml:space="preserve">Validation Checklist (must complete before production runs)</w:t>
      </w:r>
    </w:p>
    <w:p>
      <w:pPr>
        <w:pStyle w:val="ListParagraph"/>
        <w:numPr>
          <w:ilvl w:val="0"/>
          <w:numId w:val="1"/>
        </w:numPr>
        <w:spacing w:after="80"/>
        <w:ind w:left="504" w:hanging="288"/>
      </w:pPr>
      <w:r>
        <w:rPr>
          <w:rFonts w:ascii="Calibri" w:cs="Calibri" w:eastAsia="Calibri" w:hAnsi="Calibri"/>
          <w:sz w:val="22"/>
          <w:szCs w:val="22"/>
        </w:rPr>
        <w:t xml:space="preserve">✓  Validation runs at 77 K completed for plain 13X and 5A</w:t>
      </w:r>
    </w:p>
    <w:p>
      <w:pPr>
        <w:pStyle w:val="ListParagraph"/>
        <w:numPr>
          <w:ilvl w:val="0"/>
          <w:numId w:val="1"/>
        </w:numPr>
        <w:spacing w:after="80"/>
        <w:ind w:left="504" w:hanging="288"/>
      </w:pPr>
      <w:r>
        <w:rPr>
          <w:rFonts w:ascii="Calibri" w:cs="Calibri" w:eastAsia="Calibri" w:hAnsi="Calibri"/>
          <w:sz w:val="22"/>
          <w:szCs w:val="22"/>
        </w:rPr>
        <w:t xml:space="preserve">✓  Simulated values at 77 K compared against Langmi et al. (2003) Table 6.1 targets</w:t>
      </w:r>
    </w:p>
    <w:p>
      <w:pPr>
        <w:pStyle w:val="ListParagraph"/>
        <w:numPr>
          <w:ilvl w:val="0"/>
          <w:numId w:val="1"/>
        </w:numPr>
        <w:spacing w:after="80"/>
        <w:ind w:left="504" w:hanging="288"/>
      </w:pPr>
      <w:r>
        <w:rPr>
          <w:rFonts w:ascii="Calibri" w:cs="Calibri" w:eastAsia="Calibri" w:hAnsi="Calibri"/>
          <w:sz w:val="22"/>
          <w:szCs w:val="22"/>
        </w:rPr>
        <w:t xml:space="preserve">✓  All 10 validation points fall within ±15% of literature targets</w:t>
      </w:r>
    </w:p>
    <w:p>
      <w:pPr>
        <w:pStyle w:val="ListParagraph"/>
        <w:numPr>
          <w:ilvl w:val="0"/>
          <w:numId w:val="1"/>
        </w:numPr>
        <w:spacing w:after="80"/>
        <w:ind w:left="504" w:hanging="288"/>
      </w:pPr>
      <w:r>
        <w:rPr>
          <w:rFonts w:ascii="Calibri" w:cs="Calibri" w:eastAsia="Calibri" w:hAnsi="Calibri"/>
          <w:sz w:val="22"/>
          <w:szCs w:val="22"/>
        </w:rPr>
        <w:t xml:space="preserve">✓  Temperature correction ratio checked: n(195K)/n(77K) ≈ 0.0228</w:t>
      </w:r>
    </w:p>
    <w:p>
      <w:pPr>
        <w:spacing w:after="6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0A2647"/>
          <w:sz w:val="26"/>
          <w:szCs w:val="26"/>
        </w:rPr>
        <w:t xml:space="preserve">Production Run Checklist</w:t>
      </w:r>
    </w:p>
    <w:p>
      <w:pPr>
        <w:pStyle w:val="ListParagraph"/>
        <w:numPr>
          <w:ilvl w:val="0"/>
          <w:numId w:val="1"/>
        </w:numPr>
        <w:spacing w:after="80"/>
        <w:ind w:left="504" w:hanging="288"/>
      </w:pPr>
      <w:r>
        <w:rPr>
          <w:rFonts w:ascii="Calibri" w:cs="Calibri" w:eastAsia="Calibri" w:hAnsi="Calibri"/>
          <w:sz w:val="22"/>
          <w:szCs w:val="22"/>
        </w:rPr>
        <w:t xml:space="preserve">✓  All 8 configurations simulated at all 5 pressure points = 40 runs total</w:t>
      </w:r>
    </w:p>
    <w:p>
      <w:pPr>
        <w:pStyle w:val="ListParagraph"/>
        <w:numPr>
          <w:ilvl w:val="0"/>
          <w:numId w:val="1"/>
        </w:numPr>
        <w:spacing w:after="80"/>
        <w:ind w:left="504" w:hanging="288"/>
      </w:pPr>
      <w:r>
        <w:rPr>
          <w:rFonts w:ascii="Calibri" w:cs="Calibri" w:eastAsia="Calibri" w:hAnsi="Calibri"/>
          <w:sz w:val="22"/>
          <w:szCs w:val="22"/>
        </w:rPr>
        <w:t xml:space="preserve">✓  Binder correction applied to granular results (× 0.825)</w:t>
      </w:r>
    </w:p>
    <w:p>
      <w:pPr>
        <w:pStyle w:val="ListParagraph"/>
        <w:numPr>
          <w:ilvl w:val="0"/>
          <w:numId w:val="1"/>
        </w:numPr>
        <w:spacing w:after="80"/>
        <w:ind w:left="504" w:hanging="288"/>
      </w:pPr>
      <w:r>
        <w:rPr>
          <w:rFonts w:ascii="Calibri" w:cs="Calibri" w:eastAsia="Calibri" w:hAnsi="Calibri"/>
          <w:sz w:val="22"/>
          <w:szCs w:val="22"/>
        </w:rPr>
        <w:t xml:space="preserve">✓  Powder enhancement applied to powder results (× 1.15)</w:t>
      </w:r>
    </w:p>
    <w:p>
      <w:pPr>
        <w:pStyle w:val="ListParagraph"/>
        <w:numPr>
          <w:ilvl w:val="0"/>
          <w:numId w:val="1"/>
        </w:numPr>
        <w:spacing w:after="80"/>
        <w:ind w:left="504" w:hanging="288"/>
      </w:pPr>
      <w:r>
        <w:rPr>
          <w:rFonts w:ascii="Calibri" w:cs="Calibri" w:eastAsia="Calibri" w:hAnsi="Calibri"/>
          <w:sz w:val="22"/>
          <w:szCs w:val="22"/>
        </w:rPr>
        <w:t xml:space="preserve">✓  Composite enhancement applied to composite results (× 1.40)</w:t>
      </w:r>
    </w:p>
    <w:p>
      <w:pPr>
        <w:pStyle w:val="ListParagraph"/>
        <w:numPr>
          <w:ilvl w:val="0"/>
          <w:numId w:val="1"/>
        </w:numPr>
        <w:spacing w:after="80"/>
        <w:ind w:left="504" w:hanging="288"/>
      </w:pPr>
      <w:r>
        <w:rPr>
          <w:rFonts w:ascii="Calibri" w:cs="Calibri" w:eastAsia="Calibri" w:hAnsi="Calibri"/>
          <w:sz w:val="22"/>
          <w:szCs w:val="22"/>
        </w:rPr>
        <w:t xml:space="preserve">✓  Convergence confirmed for each run</w:t>
      </w:r>
    </w:p>
    <w:p>
      <w:pPr>
        <w:spacing w:after="6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0A2647"/>
          <w:sz w:val="26"/>
          <w:szCs w:val="26"/>
        </w:rPr>
        <w:t xml:space="preserve">Deliverables Checklist</w:t>
      </w:r>
    </w:p>
    <w:p>
      <w:pPr>
        <w:pStyle w:val="ListParagraph"/>
        <w:numPr>
          <w:ilvl w:val="0"/>
          <w:numId w:val="1"/>
        </w:numPr>
        <w:spacing w:after="80"/>
        <w:ind w:left="504" w:hanging="288"/>
      </w:pPr>
      <w:r>
        <w:rPr>
          <w:rFonts w:ascii="Calibri" w:cs="Calibri" w:eastAsia="Calibri" w:hAnsi="Calibri"/>
          <w:sz w:val="22"/>
          <w:szCs w:val="22"/>
        </w:rPr>
        <w:t xml:space="preserve">✓  Master isotherm table (Excel + Word) — all 8 runs × 5 pressures</w:t>
      </w:r>
    </w:p>
    <w:p>
      <w:pPr>
        <w:pStyle w:val="ListParagraph"/>
        <w:numPr>
          <w:ilvl w:val="0"/>
          <w:numId w:val="1"/>
        </w:numPr>
        <w:spacing w:after="80"/>
        <w:ind w:left="504" w:hanging="288"/>
      </w:pPr>
      <w:r>
        <w:rPr>
          <w:rFonts w:ascii="Calibri" w:cs="Calibri" w:eastAsia="Calibri" w:hAnsi="Calibri"/>
          <w:sz w:val="22"/>
          <w:szCs w:val="22"/>
        </w:rPr>
        <w:t xml:space="preserve">✓  Isotherm plots (PNG, 300 dpi, all 8 runs on one figure)</w:t>
      </w:r>
    </w:p>
    <w:p>
      <w:pPr>
        <w:pStyle w:val="ListParagraph"/>
        <w:numPr>
          <w:ilvl w:val="0"/>
          <w:numId w:val="1"/>
        </w:numPr>
        <w:spacing w:after="80"/>
        <w:ind w:left="504" w:hanging="288"/>
      </w:pPr>
      <w:r>
        <w:rPr>
          <w:rFonts w:ascii="Calibri" w:cs="Calibri" w:eastAsia="Calibri" w:hAnsi="Calibri"/>
          <w:sz w:val="22"/>
          <w:szCs w:val="22"/>
        </w:rPr>
        <w:t xml:space="preserve">✓  Validation table with percentage errors vs Langmi targets</w:t>
      </w:r>
    </w:p>
    <w:p>
      <w:pPr>
        <w:pStyle w:val="ListParagraph"/>
        <w:numPr>
          <w:ilvl w:val="0"/>
          <w:numId w:val="1"/>
        </w:numPr>
        <w:spacing w:after="80"/>
        <w:ind w:left="504" w:hanging="288"/>
      </w:pPr>
      <w:r>
        <w:rPr>
          <w:rFonts w:ascii="Calibri" w:cs="Calibri" w:eastAsia="Calibri" w:hAnsi="Calibri"/>
          <w:sz w:val="22"/>
          <w:szCs w:val="22"/>
        </w:rPr>
        <w:t xml:space="preserve">✓  Force field and model parameters summary (half page)</w:t>
      </w:r>
    </w:p>
    <w:p>
      <w:pPr>
        <w:pStyle w:val="ListParagraph"/>
        <w:numPr>
          <w:ilvl w:val="0"/>
          <w:numId w:val="1"/>
        </w:numPr>
        <w:spacing w:after="80"/>
        <w:ind w:left="504" w:hanging="288"/>
      </w:pPr>
      <w:r>
        <w:rPr>
          <w:rFonts w:ascii="Calibri" w:cs="Calibri" w:eastAsia="Calibri" w:hAnsi="Calibri"/>
          <w:sz w:val="22"/>
          <w:szCs w:val="22"/>
        </w:rPr>
        <w:t xml:space="preserve">✓  Convergence evidence</w:t>
      </w:r>
    </w:p>
    <w:p>
      <w:pPr>
        <w:pStyle w:val="ListParagraph"/>
        <w:numPr>
          <w:ilvl w:val="0"/>
          <w:numId w:val="1"/>
        </w:numPr>
        <w:spacing w:after="80"/>
        <w:ind w:left="504" w:hanging="288"/>
      </w:pPr>
      <w:r>
        <w:rPr>
          <w:rFonts w:ascii="Calibri" w:cs="Calibri" w:eastAsia="Calibri" w:hAnsi="Calibri"/>
          <w:sz w:val="22"/>
          <w:szCs w:val="22"/>
        </w:rPr>
        <w:t xml:space="preserve">✓  Uncertainty estimates per configuration</w:t>
      </w:r>
    </w:p>
    <w:p>
      <w:r>
        <w:br w:type="page"/>
      </w:r>
    </w:p>
    <w:p>
      <w:pPr>
        <w:pStyle w:val="Heading1"/>
        <w:pBdr>
          <w:bottom w:val="single" w:color="D4A24C" w:sz="8"/>
        </w:pBdr>
        <w:spacing w:after="160" w:before="400"/>
      </w:pPr>
      <w:r>
        <w:rPr>
          <w:rFonts w:ascii="Calibri" w:cs="Calibri" w:eastAsia="Calibri" w:hAnsi="Calibri"/>
          <w:b/>
          <w:bCs/>
          <w:color w:val="0A2647"/>
          <w:sz w:val="32"/>
          <w:szCs w:val="32"/>
        </w:rPr>
        <w:t xml:space="preserve">11. Expected Results Guide</w:t>
      </w:r>
    </w:p>
    <w:p>
      <w:pPr>
        <w:spacing w:after="180" w:line="340" w:lineRule="auto"/>
        <w:ind w:firstLine="504"/>
        <w:jc w:val="both"/>
      </w:pPr>
      <w:r>
        <w:rPr>
          <w:rFonts w:ascii="Calibri" w:cs="Calibri" w:eastAsia="Calibri" w:hAnsi="Calibri"/>
          <w:color w:val="000000"/>
          <w:sz w:val="22"/>
          <w:szCs w:val="22"/>
        </w:rPr>
        <w:t xml:space="preserve">The table below shows the values predicted by the analytical van 't Hoff correction method developed in Chapter 4. These are NOT targets — the simulation should produce its own values independently. However, if the simulation produces values dramatically different from these (more than a factor of 3), it is likely that a setup error has occurred and the simulator should review their inputs before delivering results.</w:t>
      </w:r>
    </w:p>
    <w:p>
      <w:pPr>
        <w:spacing w:after="100" w:before="160"/>
        <w:jc w:val="center"/>
      </w:pPr>
      <w:r>
        <w:rPr>
          <w:rFonts w:ascii="Calibri" w:cs="Calibri" w:eastAsia="Calibri" w:hAnsi="Calibri"/>
          <w:b/>
          <w:bCs/>
          <w:i/>
          <w:iCs/>
          <w:color w:val="444444"/>
          <w:sz w:val="22"/>
          <w:szCs w:val="22"/>
        </w:rPr>
        <w:t xml:space="preserve">Table 11.1: Chapter 4 analytical predictions at 195 K — for reference only, not targets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200"/>
        <w:gridCol w:w="1200"/>
        <w:gridCol w:w="1200"/>
        <w:gridCol w:w="1200"/>
        <w:gridCol w:w="1200"/>
      </w:tblGrid>
      <w:tr>
        <w:trPr>
          <w:tblHeader/>
        </w:trPr>
        <w:tc>
          <w:tcPr>
            <w:tcW w:type="dxa" w:w="7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Run</w:t>
            </w:r>
          </w:p>
        </w:tc>
        <w:tc>
          <w:tcPr>
            <w:tcW w:type="dxa" w:w="25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Configuration</w:t>
            </w:r>
          </w:p>
        </w:tc>
        <w:tc>
          <w:tcPr>
            <w:tcW w:type="dxa" w:w="12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1 bar</w:t>
            </w:r>
          </w:p>
        </w:tc>
        <w:tc>
          <w:tcPr>
            <w:tcW w:type="dxa" w:w="12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3 bar</w:t>
            </w:r>
          </w:p>
        </w:tc>
        <w:tc>
          <w:tcPr>
            <w:tcW w:type="dxa" w:w="12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5 bar</w:t>
            </w:r>
          </w:p>
        </w:tc>
        <w:tc>
          <w:tcPr>
            <w:tcW w:type="dxa" w:w="12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7 bar</w:t>
            </w:r>
          </w:p>
        </w:tc>
        <w:tc>
          <w:tcPr>
            <w:tcW w:type="dxa" w:w="1200"/>
            <w:tcBorders>
              <w:top w:val="single" w:color="AAAAAA" w:sz="4"/>
              <w:left w:val="single" w:color="AAAAAA" w:sz="4"/>
              <w:bottom w:val="single" w:color="AAAAAA" w:sz="4"/>
              <w:right w:val="single" w:color="AAAAAA" w:sz="4"/>
            </w:tcBorders>
            <w:shd w:fill="0A2647" w:color="auto" w:val="clear"/>
            <w:tcMar>
              <w:top w:type="dxa" w:w="80"/>
              <w:left w:type="dxa" w:w="100"/>
              <w:bottom w:type="dxa" w:w="80"/>
              <w:right w:type="dxa" w:w="100"/>
            </w:tcMar>
            <w:vAlign w:val="center"/>
          </w:tcPr>
          <w:p>
            <w:pPr>
              <w:spacing w:after="0"/>
              <w:jc w:val="center"/>
            </w:pPr>
            <w:r>
              <w:rPr>
                <w:rFonts w:ascii="Calibri" w:cs="Calibri" w:eastAsia="Calibri" w:hAnsi="Calibri"/>
                <w:b/>
                <w:bCs/>
                <w:i w:val="false"/>
                <w:iCs w:val="false"/>
                <w:color w:val="FFFFFF"/>
                <w:sz w:val="20"/>
                <w:szCs w:val="20"/>
              </w:rPr>
              <w:t xml:space="preserve">10 bar</w:t>
            </w:r>
          </w:p>
        </w:tc>
      </w:tr>
      <w:tr>
        <w:tc>
          <w:tcPr>
            <w:tcW w:type="dxa" w:w="7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1</w:t>
            </w:r>
          </w:p>
        </w:tc>
        <w:tc>
          <w:tcPr>
            <w:tcW w:type="dxa" w:w="25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13X Granular (plain)</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0.0110</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0.0198</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0.0255</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0.0292</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0.0324</w:t>
            </w:r>
          </w:p>
        </w:tc>
      </w:tr>
      <w:tr>
        <w:tc>
          <w:tcPr>
            <w:tcW w:type="dxa" w:w="7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2</w:t>
            </w:r>
          </w:p>
        </w:tc>
        <w:tc>
          <w:tcPr>
            <w:tcW w:type="dxa" w:w="25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13X Powder (plain)</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0.0127</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0.0228</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0.0293</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0.0336</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0.0373</w:t>
            </w:r>
          </w:p>
        </w:tc>
      </w:tr>
      <w:tr>
        <w:tc>
          <w:tcPr>
            <w:tcW w:type="dxa" w:w="7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3</w:t>
            </w:r>
          </w:p>
        </w:tc>
        <w:tc>
          <w:tcPr>
            <w:tcW w:type="dxa" w:w="25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5A Granular (plain)</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0.0073</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0.0132</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0.0169</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0.0194</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0.0214</w:t>
            </w:r>
          </w:p>
        </w:tc>
      </w:tr>
      <w:tr>
        <w:tc>
          <w:tcPr>
            <w:tcW w:type="dxa" w:w="7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4</w:t>
            </w:r>
          </w:p>
        </w:tc>
        <w:tc>
          <w:tcPr>
            <w:tcW w:type="dxa" w:w="25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5A Powder (plain)</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0.0084</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0.0152</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0.0194</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0.0223</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0.0246</w:t>
            </w:r>
          </w:p>
        </w:tc>
      </w:tr>
      <w:tr>
        <w:tc>
          <w:tcPr>
            <w:tcW w:type="dxa" w:w="7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5</w:t>
            </w:r>
          </w:p>
        </w:tc>
        <w:tc>
          <w:tcPr>
            <w:tcW w:type="dxa" w:w="25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13X Granular + Nano-AC</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0.0154</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0.0277</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0.0357</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0.0409</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0.0454</w:t>
            </w:r>
          </w:p>
        </w:tc>
      </w:tr>
      <w:tr>
        <w:tc>
          <w:tcPr>
            <w:tcW w:type="dxa" w:w="700"/>
            <w:tcBorders>
              <w:top w:val="single" w:color="AAAAAA" w:sz="4"/>
              <w:left w:val="single" w:color="AAAAAA" w:sz="4"/>
              <w:bottom w:val="single" w:color="AAAAAA" w:sz="4"/>
              <w:right w:val="single" w:color="AAAAAA" w:sz="4"/>
            </w:tcBorders>
            <w:shd w:fill="FFF3CD"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6</w:t>
            </w:r>
          </w:p>
        </w:tc>
        <w:tc>
          <w:tcPr>
            <w:tcW w:type="dxa" w:w="2500"/>
            <w:tcBorders>
              <w:top w:val="single" w:color="AAAAAA" w:sz="4"/>
              <w:left w:val="single" w:color="AAAAAA" w:sz="4"/>
              <w:bottom w:val="single" w:color="AAAAAA" w:sz="4"/>
              <w:right w:val="single" w:color="AAAAAA" w:sz="4"/>
            </w:tcBorders>
            <w:shd w:fill="FFF3CD"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13X Powder + Nano-AC</w:t>
            </w:r>
          </w:p>
        </w:tc>
        <w:tc>
          <w:tcPr>
            <w:tcW w:type="dxa" w:w="1200"/>
            <w:tcBorders>
              <w:top w:val="single" w:color="AAAAAA" w:sz="4"/>
              <w:left w:val="single" w:color="AAAAAA" w:sz="4"/>
              <w:bottom w:val="single" w:color="AAAAAA" w:sz="4"/>
              <w:right w:val="single" w:color="AAAAAA" w:sz="4"/>
            </w:tcBorders>
            <w:shd w:fill="FFF3CD"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0.0177</w:t>
            </w:r>
          </w:p>
        </w:tc>
        <w:tc>
          <w:tcPr>
            <w:tcW w:type="dxa" w:w="1200"/>
            <w:tcBorders>
              <w:top w:val="single" w:color="AAAAAA" w:sz="4"/>
              <w:left w:val="single" w:color="AAAAAA" w:sz="4"/>
              <w:bottom w:val="single" w:color="AAAAAA" w:sz="4"/>
              <w:right w:val="single" w:color="AAAAAA" w:sz="4"/>
            </w:tcBorders>
            <w:shd w:fill="FFF3CD"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0.0319</w:t>
            </w:r>
          </w:p>
        </w:tc>
        <w:tc>
          <w:tcPr>
            <w:tcW w:type="dxa" w:w="1200"/>
            <w:tcBorders>
              <w:top w:val="single" w:color="AAAAAA" w:sz="4"/>
              <w:left w:val="single" w:color="AAAAAA" w:sz="4"/>
              <w:bottom w:val="single" w:color="AAAAAA" w:sz="4"/>
              <w:right w:val="single" w:color="AAAAAA" w:sz="4"/>
            </w:tcBorders>
            <w:shd w:fill="FFF3CD"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0.0411</w:t>
            </w:r>
          </w:p>
        </w:tc>
        <w:tc>
          <w:tcPr>
            <w:tcW w:type="dxa" w:w="1200"/>
            <w:tcBorders>
              <w:top w:val="single" w:color="AAAAAA" w:sz="4"/>
              <w:left w:val="single" w:color="AAAAAA" w:sz="4"/>
              <w:bottom w:val="single" w:color="AAAAAA" w:sz="4"/>
              <w:right w:val="single" w:color="AAAAAA" w:sz="4"/>
            </w:tcBorders>
            <w:shd w:fill="FFF3CD"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0.0470</w:t>
            </w:r>
          </w:p>
        </w:tc>
        <w:tc>
          <w:tcPr>
            <w:tcW w:type="dxa" w:w="1200"/>
            <w:tcBorders>
              <w:top w:val="single" w:color="AAAAAA" w:sz="4"/>
              <w:left w:val="single" w:color="AAAAAA" w:sz="4"/>
              <w:bottom w:val="single" w:color="AAAAAA" w:sz="4"/>
              <w:right w:val="single" w:color="AAAAAA" w:sz="4"/>
            </w:tcBorders>
            <w:shd w:fill="FFF3CD"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0.0522</w:t>
            </w:r>
          </w:p>
        </w:tc>
      </w:tr>
      <w:tr>
        <w:tc>
          <w:tcPr>
            <w:tcW w:type="dxa" w:w="7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7</w:t>
            </w:r>
          </w:p>
        </w:tc>
        <w:tc>
          <w:tcPr>
            <w:tcW w:type="dxa" w:w="25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5A Granular + Nano-AC</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0.0102</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0.0185</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0.0237</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0.0272</w:t>
            </w:r>
          </w:p>
        </w:tc>
        <w:tc>
          <w:tcPr>
            <w:tcW w:type="dxa" w:w="1200"/>
            <w:tcBorders>
              <w:top w:val="single" w:color="AAAAAA" w:sz="4"/>
              <w:left w:val="single" w:color="AAAAAA" w:sz="4"/>
              <w:bottom w:val="single" w:color="AAAAAA" w:sz="4"/>
              <w:right w:val="single" w:color="AAAAAA" w:sz="4"/>
            </w:tcBorders>
            <w:shd w:fill="FFFFFF"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0.0300</w:t>
            </w:r>
          </w:p>
        </w:tc>
      </w:tr>
      <w:tr>
        <w:tc>
          <w:tcPr>
            <w:tcW w:type="dxa" w:w="7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i w:val="false"/>
                <w:iCs w:val="false"/>
                <w:color w:val="000000"/>
                <w:sz w:val="20"/>
                <w:szCs w:val="20"/>
              </w:rPr>
              <w:t xml:space="preserve">8</w:t>
            </w:r>
          </w:p>
        </w:tc>
        <w:tc>
          <w:tcPr>
            <w:tcW w:type="dxa" w:w="25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5A Powder + Nano-AC</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0.0117</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0.0213</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0.0273</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0.0313</w:t>
            </w:r>
          </w:p>
        </w:tc>
        <w:tc>
          <w:tcPr>
            <w:tcW w:type="dxa" w:w="1200"/>
            <w:tcBorders>
              <w:top w:val="single" w:color="AAAAAA" w:sz="4"/>
              <w:left w:val="single" w:color="AAAAAA" w:sz="4"/>
              <w:bottom w:val="single" w:color="AAAAAA" w:sz="4"/>
              <w:right w:val="single" w:color="AAAAAA" w:sz="4"/>
            </w:tcBorders>
            <w:shd w:fill="F5F5F5" w:color="auto" w:val="clear"/>
            <w:tcMar>
              <w:top w:type="dxa" w:w="80"/>
              <w:left w:type="dxa" w:w="100"/>
              <w:bottom w:type="dxa" w:w="80"/>
              <w:right w:type="dxa" w:w="100"/>
            </w:tcMar>
            <w:vAlign w:val="center"/>
          </w:tcPr>
          <w:p>
            <w:pPr>
              <w:spacing w:after="0"/>
              <w:jc w:val="center"/>
            </w:pPr>
            <w:r>
              <w:rPr>
                <w:rFonts w:ascii="Calibri" w:cs="Calibri" w:eastAsia="Calibri" w:hAnsi="Calibri"/>
                <w:b w:val="false"/>
                <w:bCs w:val="false"/>
                <w:i w:val="false"/>
                <w:iCs w:val="false"/>
                <w:color w:val="000000"/>
                <w:sz w:val="20"/>
                <w:szCs w:val="20"/>
              </w:rPr>
              <w:t xml:space="preserve">0.0345</w:t>
            </w:r>
          </w:p>
        </w:tc>
      </w:tr>
    </w:tbl>
    <w:p>
      <w:pPr>
        <w:spacing w:after="60"/>
      </w:pPr>
      <w:r>
        <w:rPr>
          <w:rFonts w:ascii="Calibri" w:cs="Calibri" w:eastAsia="Calibri" w:hAnsi="Calibri"/>
          <w:sz w:val="22"/>
          <w:szCs w:val="22"/>
        </w:rPr>
        <w:t xml:space="preserve"/>
      </w:r>
    </w:p>
    <w:p>
      <w:pPr>
        <w:spacing w:after="160"/>
        <w:ind w:left="360"/>
      </w:pPr>
      <w:r>
        <w:rPr>
          <w:rFonts w:ascii="Calibri" w:cs="Calibri" w:eastAsia="Calibri" w:hAnsi="Calibri"/>
          <w:b/>
          <w:bCs/>
          <w:color w:val="C0392B"/>
          <w:sz w:val="22"/>
          <w:szCs w:val="22"/>
        </w:rPr>
        <w:t xml:space="preserve">NOTE: </w:t>
      </w:r>
      <w:r>
        <w:rPr>
          <w:rFonts w:ascii="Calibri" w:cs="Calibri" w:eastAsia="Calibri" w:hAnsi="Calibri"/>
          <w:color w:val="C0392B"/>
          <w:sz w:val="22"/>
          <w:szCs w:val="22"/>
        </w:rPr>
        <w:t xml:space="preserve">All values in wt% (grams H₂ per 100 grams adsorbent). Run 6 highlighted as the predicted best performer.</w:t>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p>
      <w:pPr>
        <w:pBdr>
          <w:top w:val="single" w:color="D4A24C" w:sz="6"/>
        </w:pBdr>
        <w:spacing w:after="100" w:before="200"/>
        <w:jc w:val="center"/>
      </w:pPr>
      <w:r>
        <w:rPr>
          <w:rFonts w:ascii="Calibri" w:cs="Calibri" w:eastAsia="Calibri" w:hAnsi="Calibri"/>
          <w:i/>
          <w:iCs/>
          <w:color w:val="555555"/>
          <w:sz w:val="22"/>
          <w:szCs w:val="22"/>
        </w:rPr>
        <w:t xml:space="preserve">Questions or clarifications on this specification should be directed to Emmanuel Solomon-Eseh before simulation begins. Any changes to the material parameters, operating conditions, or configuration definitions must be agreed and documented before results are generated for thesis use.</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Simulation Specification Document — H2 Storage Prototype</dc:title>
  <dc:creator>Emmanuel Solomon-Eseh</dc:creator>
  <cp:lastModifiedBy>Un-named</cp:lastModifiedBy>
  <cp:revision>1</cp:revision>
  <dcterms:created xsi:type="dcterms:W3CDTF">2026-08-22T13:48:37.761Z</dcterms:created>
  <dcterms:modified xsi:type="dcterms:W3CDTF">2026-08-22T13:48:37.761Z</dcterms:modified>
</cp:coreProperties>
</file>

<file path=docProps/custom.xml><?xml version="1.0" encoding="utf-8"?>
<Properties xmlns="http://schemas.openxmlformats.org/officeDocument/2006/custom-properties" xmlns:vt="http://schemas.openxmlformats.org/officeDocument/2006/docPropsVTypes"/>
</file>