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Parameters and Methodology</w:t>
      </w:r>
    </w:p>
    <w:p>
      <w:pPr>
        <w:pStyle w:val="Heading1"/>
      </w:pPr>
      <w:r>
        <w:t>Approach</w:t>
      </w:r>
    </w:p>
    <w:p>
      <w:r>
        <w:t>This is the specification's second-choice route (Section 1.2): a calibrated analytical surrogate rather than Grand Canonical Monte Carlo. A Sips (Langmuir-Freundlich) isotherm is fitted to the Langmi et al. (2003) 77 K benchmark for each zeolite, then transferred to the production temperature through the temperature dependence of the affinity constant. No crystal structure files or force fields are used; consequently no GCMC convergence data applies.</w:t>
      </w:r>
    </w:p>
    <w:p>
      <w:pPr>
        <w:pStyle w:val="Heading1"/>
      </w:pPr>
      <w:r>
        <w:t>Fitted parameters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152"/>
          </w:tcPr>
          <w:p>
            <w:pPr>
              <w:jc w:val="center"/>
            </w:pPr>
            <w:r>
              <w:rPr>
                <w:b/>
                <w:sz w:val="18"/>
              </w:rPr>
              <w:t>Zeolite</w:t>
            </w:r>
          </w:p>
        </w:tc>
        <w:tc>
          <w:tcPr>
            <w:tcW w:type="dxa" w:w="2304"/>
          </w:tcPr>
          <w:p>
            <w:pPr>
              <w:jc w:val="center"/>
            </w:pPr>
            <w:r>
              <w:rPr>
                <w:b/>
                <w:sz w:val="18"/>
              </w:rPr>
              <w:t>Model</w:t>
            </w:r>
          </w:p>
        </w:tc>
        <w:tc>
          <w:tcPr>
            <w:tcW w:type="dxa" w:w="3456"/>
          </w:tcPr>
          <w:p>
            <w:pPr>
              <w:jc w:val="center"/>
            </w:pPr>
            <w:r>
              <w:rPr>
                <w:b/>
                <w:sz w:val="18"/>
              </w:rPr>
              <w:t>Parameters</w:t>
            </w:r>
          </w:p>
        </w:tc>
        <w:tc>
          <w:tcPr>
            <w:tcW w:type="dxa" w:w="1296"/>
          </w:tcPr>
          <w:p>
            <w:pPr>
              <w:jc w:val="center"/>
            </w:pPr>
            <w:r>
              <w:rPr>
                <w:b/>
                <w:sz w:val="18"/>
              </w:rPr>
              <w:t>Max error</w:t>
            </w:r>
          </w:p>
        </w:tc>
        <w:tc>
          <w:tcPr>
            <w:tcW w:type="dxa" w:w="1152"/>
          </w:tcPr>
          <w:p>
            <w:pPr>
              <w:jc w:val="center"/>
            </w:pPr>
            <w:r>
              <w:rPr>
                <w:b/>
                <w:sz w:val="18"/>
              </w:rPr>
              <w:t>RMSE</w:t>
            </w:r>
          </w:p>
        </w:tc>
      </w:tr>
      <w:tr>
        <w:tc>
          <w:tcPr>
            <w:tcW w:type="dxa" w:w="1152"/>
          </w:tcPr>
          <w:p>
            <w:r>
              <w:rPr>
                <w:sz w:val="18"/>
              </w:rPr>
              <w:t>13X</w:t>
            </w:r>
          </w:p>
        </w:tc>
        <w:tc>
          <w:tcPr>
            <w:tcW w:type="dxa" w:w="2304"/>
          </w:tcPr>
          <w:p>
            <w:r>
              <w:rPr>
                <w:sz w:val="18"/>
              </w:rPr>
              <w:t>Sips (Langmuir-Freundlich)</w:t>
            </w:r>
          </w:p>
        </w:tc>
        <w:tc>
          <w:tcPr>
            <w:tcW w:type="dxa" w:w="3456"/>
          </w:tcPr>
          <w:p>
            <w:pPr>
              <w:jc w:val="center"/>
            </w:pPr>
            <w:r>
              <w:rPr>
                <w:sz w:val="18"/>
              </w:rPr>
              <w:t>n_sat = 2.3163, b = 0.1817, m = 0.7948</w:t>
            </w:r>
          </w:p>
        </w:tc>
        <w:tc>
          <w:tcPr>
            <w:tcW w:type="dxa" w:w="1296"/>
          </w:tcPr>
          <w:p>
            <w:pPr>
              <w:jc w:val="center"/>
            </w:pPr>
            <w:r>
              <w:rPr>
                <w:sz w:val="18"/>
              </w:rPr>
              <w:t>1.63%</w:t>
            </w:r>
          </w:p>
        </w:tc>
        <w:tc>
          <w:tcPr>
            <w:tcW w:type="dxa" w:w="1152"/>
          </w:tcPr>
          <w:p>
            <w:pPr>
              <w:jc w:val="center"/>
            </w:pPr>
            <w:r>
              <w:rPr>
                <w:sz w:val="18"/>
              </w:rPr>
              <w:t>1.02%</w:t>
            </w:r>
          </w:p>
        </w:tc>
      </w:tr>
      <w:tr>
        <w:tc>
          <w:tcPr>
            <w:tcW w:type="dxa" w:w="1152"/>
          </w:tcPr>
          <w:p>
            <w:r>
              <w:rPr>
                <w:sz w:val="18"/>
              </w:rPr>
              <w:t>5A</w:t>
            </w:r>
          </w:p>
        </w:tc>
        <w:tc>
          <w:tcPr>
            <w:tcW w:type="dxa" w:w="2304"/>
          </w:tcPr>
          <w:p>
            <w:r>
              <w:rPr>
                <w:sz w:val="18"/>
              </w:rPr>
              <w:t>Sips (Langmuir-Freundlich)</w:t>
            </w:r>
          </w:p>
        </w:tc>
        <w:tc>
          <w:tcPr>
            <w:tcW w:type="dxa" w:w="3456"/>
          </w:tcPr>
          <w:p>
            <w:pPr>
              <w:jc w:val="center"/>
            </w:pPr>
            <w:r>
              <w:rPr>
                <w:sz w:val="18"/>
              </w:rPr>
              <w:t>n_sat = 1.5315, b = 0.1830, m = 0.7911</w:t>
            </w:r>
          </w:p>
        </w:tc>
        <w:tc>
          <w:tcPr>
            <w:tcW w:type="dxa" w:w="1296"/>
          </w:tcPr>
          <w:p>
            <w:pPr>
              <w:jc w:val="center"/>
            </w:pPr>
            <w:r>
              <w:rPr>
                <w:sz w:val="18"/>
              </w:rPr>
              <w:t>1.30%</w:t>
            </w:r>
          </w:p>
        </w:tc>
        <w:tc>
          <w:tcPr>
            <w:tcW w:type="dxa" w:w="1152"/>
          </w:tcPr>
          <w:p>
            <w:pPr>
              <w:jc w:val="center"/>
            </w:pPr>
            <w:r>
              <w:rPr>
                <w:sz w:val="18"/>
              </w:rPr>
              <w:t>0.91%</w:t>
            </w:r>
          </w:p>
        </w:tc>
      </w:tr>
    </w:tbl>
    <w:p>
      <w:pPr>
        <w:pStyle w:val="Heading1"/>
      </w:pPr>
      <w:r>
        <w:t>Temperature transfer</w:t>
      </w:r>
    </w:p>
    <w:p>
      <w:r>
        <w:t>b(T) = b(77 K) × exp[(q_st / R) × (1/T − 1/77)]</w:t>
      </w:r>
    </w:p>
    <w:p>
      <w:r>
        <w:t>Saturation capacity is treated as temperature-independent, since it counts adsorption sites. Only the affinity constant carries temperature.</w:t>
      </w:r>
    </w:p>
    <w:p>
      <w:pPr>
        <w:pStyle w:val="Heading1"/>
      </w:pPr>
      <w:r>
        <w:t>Correction factors</w:t>
      </w:r>
    </w:p>
    <w:tbl>
      <w:tblPr>
        <w:tblStyle w:val="LightGrid-Accent1"/>
        <w:tblW w:type="auto" w:w="0"/>
        <w:tblLook w:firstColumn="1" w:firstRow="1" w:lastColumn="0" w:lastRow="0" w:noHBand="0" w:noVBand="1" w:val="04A0"/>
      </w:tblPr>
      <w:tblGrid>
        <w:gridCol w:w="2880"/>
        <w:gridCol w:w="2880"/>
        <w:gridCol w:w="2880"/>
      </w:tblGrid>
      <w:tr>
        <w:tc>
          <w:tcPr>
            <w:tcW w:type="dxa" w:w="3168"/>
          </w:tcPr>
          <w:p>
            <w:pPr>
              <w:jc w:val="center"/>
            </w:pPr>
            <w:r>
              <w:rPr>
                <w:b/>
                <w:sz w:val="18"/>
              </w:rPr>
              <w:t>Factor</w:t>
            </w:r>
          </w:p>
        </w:tc>
        <w:tc>
          <w:tcPr>
            <w:tcW w:type="dxa" w:w="1440"/>
          </w:tcPr>
          <w:p>
            <w:pPr>
              <w:jc w:val="center"/>
            </w:pPr>
            <w:r>
              <w:rPr>
                <w:b/>
                <w:sz w:val="18"/>
              </w:rPr>
              <w:t>Value</w:t>
            </w:r>
          </w:p>
        </w:tc>
        <w:tc>
          <w:tcPr>
            <w:tcW w:type="dxa" w:w="3456"/>
          </w:tcPr>
          <w:p>
            <w:pPr>
              <w:jc w:val="center"/>
            </w:pPr>
            <w:r>
              <w:rPr>
                <w:b/>
                <w:sz w:val="18"/>
              </w:rPr>
              <w:t>Source</w:t>
            </w:r>
          </w:p>
        </w:tc>
      </w:tr>
      <w:tr>
        <w:tc>
          <w:tcPr>
            <w:tcW w:type="dxa" w:w="3168"/>
          </w:tcPr>
          <w:p>
            <w:r>
              <w:rPr>
                <w:sz w:val="18"/>
              </w:rPr>
              <w:t>Powder enhancement</w:t>
            </w:r>
          </w:p>
        </w:tc>
        <w:tc>
          <w:tcPr>
            <w:tcW w:type="dxa" w:w="1440"/>
          </w:tcPr>
          <w:p>
            <w:r>
              <w:rPr>
                <w:sz w:val="18"/>
              </w:rPr>
              <w:t>×1.15</w:t>
            </w:r>
          </w:p>
        </w:tc>
        <w:tc>
          <w:tcPr>
            <w:tcW w:type="dxa" w:w="3456"/>
          </w:tcPr>
          <w:p>
            <w:pPr>
              <w:jc w:val="center"/>
            </w:pPr>
            <w:r>
              <w:rPr>
                <w:sz w:val="18"/>
              </w:rPr>
              <w:t>Erdogan et al. (2024)</w:t>
            </w:r>
          </w:p>
        </w:tc>
      </w:tr>
      <w:tr>
        <w:tc>
          <w:tcPr>
            <w:tcW w:type="dxa" w:w="3168"/>
          </w:tcPr>
          <w:p>
            <w:r>
              <w:rPr>
                <w:sz w:val="18"/>
              </w:rPr>
              <w:t>Composite enhancement</w:t>
            </w:r>
          </w:p>
        </w:tc>
        <w:tc>
          <w:tcPr>
            <w:tcW w:type="dxa" w:w="1440"/>
          </w:tcPr>
          <w:p>
            <w:r>
              <w:rPr>
                <w:sz w:val="18"/>
              </w:rPr>
              <w:t>×1.4</w:t>
            </w:r>
          </w:p>
        </w:tc>
        <w:tc>
          <w:tcPr>
            <w:tcW w:type="dxa" w:w="3456"/>
          </w:tcPr>
          <w:p>
            <w:pPr>
              <w:jc w:val="center"/>
            </w:pPr>
            <w:r>
              <w:rPr>
                <w:sz w:val="18"/>
              </w:rPr>
              <w:t>Hauli et al. (2025)</w:t>
            </w:r>
          </w:p>
        </w:tc>
      </w:tr>
      <w:tr>
        <w:tc>
          <w:tcPr>
            <w:tcW w:type="dxa" w:w="3168"/>
          </w:tcPr>
          <w:p>
            <w:r>
              <w:rPr>
                <w:sz w:val="18"/>
              </w:rPr>
              <w:t>Granular (literature basis)</w:t>
            </w:r>
          </w:p>
        </w:tc>
        <w:tc>
          <w:tcPr>
            <w:tcW w:type="dxa" w:w="1440"/>
          </w:tcPr>
          <w:p>
            <w:r>
              <w:rPr>
                <w:sz w:val="18"/>
              </w:rPr>
              <w:t>×1.00</w:t>
            </w:r>
          </w:p>
        </w:tc>
        <w:tc>
          <w:tcPr>
            <w:tcW w:type="dxa" w:w="3456"/>
          </w:tcPr>
          <w:p>
            <w:pPr>
              <w:jc w:val="center"/>
            </w:pPr>
            <w:r>
              <w:rPr>
                <w:sz w:val="18"/>
              </w:rPr>
              <w:t>Benchmark already binder-inclusive</w:t>
            </w:r>
          </w:p>
        </w:tc>
      </w:tr>
      <w:tr>
        <w:tc>
          <w:tcPr>
            <w:tcW w:type="dxa" w:w="3168"/>
          </w:tcPr>
          <w:p>
            <w:r>
              <w:rPr>
                <w:sz w:val="18"/>
              </w:rPr>
              <w:t>Granular (pure-framework basis)</w:t>
            </w:r>
          </w:p>
        </w:tc>
        <w:tc>
          <w:tcPr>
            <w:tcW w:type="dxa" w:w="1440"/>
          </w:tcPr>
          <w:p>
            <w:r>
              <w:rPr>
                <w:sz w:val="18"/>
              </w:rPr>
              <w:t>×0.825</w:t>
            </w:r>
          </w:p>
        </w:tc>
        <w:tc>
          <w:tcPr>
            <w:tcW w:type="dxa" w:w="3456"/>
          </w:tcPr>
          <w:p>
            <w:pPr>
              <w:jc w:val="center"/>
            </w:pPr>
            <w:r>
              <w:rPr>
                <w:sz w:val="18"/>
              </w:rPr>
              <w:t>Spec Section 4.1 as written</w:t>
            </w:r>
          </w:p>
        </w:tc>
      </w:tr>
    </w:tbl>
    <w:p>
      <w:pPr>
        <w:pStyle w:val="Heading1"/>
      </w:pPr>
      <w:r>
        <w:t>Documented deviations from the specification</w:t>
      </w:r>
    </w:p>
    <w:p>
      <w:r>
        <w:t>Each deviation below was made because following the specification literally produces an internally inconsistent or physically invalid result. They are listed so they can be stated and defended in the methodology chapter.</w:t>
      </w:r>
    </w:p>
    <w:p>
      <w:pPr>
        <w:pStyle w:val="Heading2"/>
      </w:pPr>
      <w:r>
        <w:t>Binder correction not double-applied (Section 4.1)</w:t>
      </w:r>
    </w:p>
    <w:p>
      <w:r>
        <w:t>Section 4.1 mandates ×0.825 for granular forms, but Table 11.1 was generated without it. Because Section 6 anchors the model to Langmi's measurements on commercial binder-containing material, that dilution is already present in the baseline. Applying ×0.825 on top counts it twice. The 'pure_framework' basis reproduces Section 4.1 literally if required.</w:t>
      </w:r>
    </w:p>
    <w:p>
      <w:pPr>
        <w:pStyle w:val="Heading2"/>
      </w:pPr>
      <w:r>
        <w:t>Temperature transfer through b(T), not a constant 0.0228 (Section 6.1)</w:t>
      </w:r>
    </w:p>
    <w:p>
      <w:r>
        <w:t>The single factor 0.0228 is the Henry's-law limit. The specification's own material data places 13X at roughly 95% of saturation at 77 K and 10 bar, where that limit does not hold. Carrying temperature in b(T) instead yields a near-linear 195 K isotherm, which is the physically correct shape, and a pressure-dependent 195/77 ratio rather than a constant one.</w:t>
      </w:r>
    </w:p>
    <w:p>
      <w:pPr>
        <w:pStyle w:val="Heading2"/>
      </w:pPr>
      <w:r>
        <w:t>q_st treated as a variable (Sections 2, 5)</w:t>
      </w:r>
    </w:p>
    <w:p>
      <w:r>
        <w:t>Across the specification's own 4-8 kJ/mol range the predicted uptake moves by more than an order of magnitude — far beyond the factor-of-3 sanity gate in Section 11. It is therefore exposed as a primary input and swept as a required, not optional, run. Note also that 4 kJ/mol is the optimistic bound, not the conservative one as Section 2.1 describes it.</w:t>
      </w:r>
    </w:p>
    <w:p>
      <w:pPr>
        <w:pStyle w:val="Heading2"/>
      </w:pPr>
      <w:r>
        <w:t>Composite Approach B as default (Section 4.1)</w:t>
      </w:r>
    </w:p>
    <w:p>
      <w:r>
        <w:t>Approach A applies Hauli's 1.40× on top of a mass-weighted zeolite/carbon average. That factor was measured as a composite-versus-plain ratio and already includes the carbon's contribution, so Approach A applies the enhancement twice. Approach B is used by default and matches how Table 11.1 was generated.</w:t>
      </w:r>
    </w:p>
    <w:p>
      <w:pPr>
        <w:pStyle w:val="Heading2"/>
      </w:pPr>
      <w:r>
        <w:t>Vessel geometry recomputed (Section 3)</w:t>
      </w:r>
    </w:p>
    <w:p>
      <w:r>
        <w:t>pi × (25 mm)² × 250 mm is 490.9 cm³, not the 484 cm³ stated. The 30 mm end space at ID 50 mm is 58.9 cm³ per end, so the '60 cm³ (30 cm³ × 2)' annotation is inconsistent with the 364 cm³ active volume it is used to derive.</w:t>
      </w:r>
    </w:p>
    <w:p>
      <w:pPr>
        <w:pStyle w:val="Heading2"/>
      </w:pPr>
      <w:r>
        <w:t>Excess versus absolute adsorption</w:t>
      </w:r>
    </w:p>
    <w:p>
      <w:r>
        <w:t>Langmi's values are EXCESS adsorption; a GCMC run reports ABSOLUTE adsorption. At 77 K / 10 bar the gap is ~0.09 wt% (~6% of the benchmark), always in the same direction. Subtract rho_bulk x V_pore from GCMC output before comparing.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