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Hydrogen Storage Vessel Simulation</w:t>
      </w:r>
    </w:p>
    <w:p>
      <w:pPr>
        <w:pStyle w:val="Heading2"/>
        <w:spacing w:after="200"/>
      </w:pPr>
      <w:r>
        <w:t xml:space="preserve">Data &amp; Model Specification (Final)</w:t>
      </w:r>
    </w:p>
    <w:p>
      <w:pPr>
        <w:spacing w:after="100"/>
      </w:pPr>
      <w:r>
        <w:rPr>
          <w:b/>
          <w:bCs/>
        </w:rPr>
        <w:t xml:space="preserve">Prepared for: </w:t>
      </w:r>
      <w:r>
        <w:t xml:space="preserve">Abdul Yunusa Ruwani — BSc Thesis, Petroleum &amp; Gas Engineering, University of Lagos</w:t>
      </w:r>
    </w:p>
    <w:p>
      <w:pPr>
        <w:spacing w:after="200"/>
      </w:pPr>
      <w:r>
        <w:rPr>
          <w:b/>
          <w:bCs/>
        </w:rPr>
        <w:t xml:space="preserve">Purpose: </w:t>
      </w:r>
      <w:r>
        <w:t xml:space="preserve">Predict H2 adsorption isotherm behavior and full vessel charge/discharge performance for a Ca-exchanged Zeolite-14A hydrogen storage system. No physical H2 testing has been performed — this is a fully predictive simulation to generate the data the thesis needs.</w:t>
      </w:r>
    </w:p>
    <w:p>
      <w:pPr>
        <w:pBdr>
          <w:bottom w:val="single" w:color="999999" w:sz="6" w:space="1"/>
        </w:pBdr>
        <w:spacing w:after="200" w:before="200"/>
      </w:pPr>
    </w:p>
    <w:p>
      <w:pPr>
        <w:pStyle w:val="Heading1"/>
        <w:spacing w:after="150" w:before="300"/>
      </w:pPr>
      <w:r>
        <w:t xml:space="preserve">1. System Description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Adsorbent: Zeolite-14A, tested in 4 sample configurations (2×2 design):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Activated (Ca²⁺ ion-exchanged) powder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Regular (untreated) powder</w:t>
      </w:r>
    </w:p>
    <w:p>
      <w:pPr>
        <w:pStyle w:val="ListParagraph"/>
        <w:numPr>
          <w:ilvl w:val="0"/>
          <w:numId w:val="2"/>
        </w:numPr>
        <w:spacing w:after="60"/>
        <w:ind w:left="720"/>
      </w:pPr>
      <w:r>
        <w:t xml:space="preserve">Activated (Ca²⁺ ion-exchanged) granule</w:t>
      </w:r>
    </w:p>
    <w:p>
      <w:pPr>
        <w:pStyle w:val="ListParagraph"/>
        <w:numPr>
          <w:ilvl w:val="0"/>
          <w:numId w:val="2"/>
        </w:numPr>
        <w:spacing w:after="80"/>
        <w:ind w:left="720"/>
      </w:pPr>
      <w:r>
        <w:t xml:space="preserve">Regular (untreated) granule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Ca-exchange performed via CaCl2 treatment, thermal activation at 300°C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Application: portable cryogenic H2 storage vessel (physical prototype fabricated, design available on request)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Benchmark: </w:t>
      </w:r>
      <w:r>
        <w:t xml:space="preserve">US DOE gravimetric target = 5.5 wt%</w:t>
      </w:r>
    </w:p>
    <w:p>
      <w:pPr>
        <w:pStyle w:val="Heading1"/>
        <w:spacing w:after="150" w:before="300"/>
      </w:pPr>
      <w:r>
        <w:t xml:space="preserve">2. Adsorbent &amp; Isotherm Data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Isotherm model: </w:t>
      </w:r>
      <w:r>
        <w:t xml:space="preserve">Langmuir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Saturation capacity (qmax): </w:t>
      </w:r>
      <w:r>
        <w:t xml:space="preserve">not experimentally fixed — model to predict maximum achievable capacity for each of the 4 samples.</w:t>
      </w:r>
    </w:p>
    <w:p>
      <w:pPr>
        <w:spacing w:after="160"/>
      </w:pPr>
      <w:r>
        <w:rPr>
          <w:i/>
          <w:iCs/>
        </w:rPr>
        <w:t xml:space="preserve">Developer note: for plausibility-checking model output, published data on cation-exchanged zeolites (CaX, KX) at near-ambient temperature and 0–15 bar report gravimetric capacities up to ~2.2 wt% for the best-performing framework/cation combination; zeolite-A-type frameworks are expected to underperform X/Y-type frameworks at equivalent conditions due to pore-blocking by extraframework cations. At the cryogenic temperature specified below, higher capacities than these near-ambient benchmarks are physically expected — treat these figures as a sanity-check floor, not a ceiling.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Operating/simulation temperature: </w:t>
      </w:r>
      <w:r>
        <w:t xml:space="preserve">−78°C (cryogenic, held via external dry ice/acetone bath — locked value)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Pressure range: </w:t>
      </w:r>
      <w:r>
        <w:t xml:space="preserve">1–10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Isosteric heat of adsorption (ΔH_ads): </w:t>
      </w:r>
      <w:r>
        <w:t xml:space="preserve">use literature default for cation-exchanged zeolite/H2 physisorption (~5–8 kJ/mol) — not experimentally measured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Experimental data points: </w:t>
      </w:r>
      <w:r>
        <w:t xml:space="preserve">none — fully predictive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Samples modeled separately: </w:t>
      </w:r>
      <w:r>
        <w:t xml:space="preserve">yes, all 4 (activated powder, regular powder, activated granule, regular granule)</w:t>
      </w:r>
    </w:p>
    <w:p>
      <w:pPr>
        <w:pStyle w:val="Heading1"/>
        <w:spacing w:after="150" w:before="300"/>
      </w:pPr>
      <w:r>
        <w:t xml:space="preserve">3. Vessel Physical Specification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Configuration: </w:t>
      </w:r>
      <w:r>
        <w:t xml:space="preserve">single vessel, reused sequentially for each of the 4 sample runs (125 g per sample)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Geometry: </w:t>
      </w:r>
      <w:r>
        <w:t xml:space="preserve">cylindrical, 50 mm diameter × 250 mm length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Wall material: </w:t>
      </w:r>
      <w:r>
        <w:t xml:space="preserve">stainless steel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Wall thickness: </w:t>
      </w:r>
      <w:r>
        <w:t xml:space="preserve">10 mm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Bed containment: </w:t>
      </w:r>
      <w:r>
        <w:t xml:space="preserve">mesh filters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Bed void fraction: </w:t>
      </w:r>
      <w:r>
        <w:t xml:space="preserve">0.35–0.40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Insulation: </w:t>
      </w:r>
      <w:r>
        <w:t xml:space="preserve">present, to prevent heat loss from the cryogenic system (type/thickness not specified — developer to assume standard cryogenic insulation practice, e.g. vacuum jacket or foam wrap, and flag the assumption)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Cooling method: </w:t>
      </w:r>
      <w:r>
        <w:t xml:space="preserve">external dry ice/acetone bath (~−78°C)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Max design/rated pressure: </w:t>
      </w:r>
      <w:r>
        <w:t xml:space="preserve">15 bar</w:t>
      </w:r>
    </w:p>
    <w:p>
      <w:pPr>
        <w:spacing w:after="160"/>
      </w:pPr>
      <w:r>
        <w:rPr>
          <w:i/>
          <w:iCs/>
        </w:rPr>
        <w:t xml:space="preserve">Vessel CAD/design file available from Abdul on request.</w:t>
      </w:r>
    </w:p>
    <w:p>
      <w:pPr>
        <w:pStyle w:val="Heading1"/>
        <w:spacing w:after="150" w:before="300"/>
      </w:pPr>
      <w:r>
        <w:t xml:space="preserve">4. Operating Conditions &amp; Duty Cycle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Charging source pressure: </w:t>
      </w:r>
      <w:r>
        <w:t xml:space="preserve">below 10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Target charge pressure: </w:t>
      </w:r>
      <w:r>
        <w:t xml:space="preserve">10 bar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Charging temperature: </w:t>
      </w:r>
      <w:r>
        <w:t xml:space="preserve">−78°C (same cryogenic bath as loading)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Charge rate/duration: </w:t>
      </w:r>
      <w:r>
        <w:t xml:space="preserve">not fixed — left to the simulation to determine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Desorption trigger: </w:t>
      </w:r>
      <w:r>
        <w:t xml:space="preserve">heating to 80–100°C (confirmed — not ambient release)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Discharge delivery requirement: </w:t>
      </w:r>
      <w:r>
        <w:t xml:space="preserve">intended for fuel cell feed (constant/regulated flow assumed unless developer has a specific fuel cell demand curve to target)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Number of cycles to simulate: </w:t>
      </w:r>
      <w:r>
        <w:t xml:space="preserve">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Ambient/surroundings temperature: </w:t>
      </w:r>
      <w:r>
        <w:t xml:space="preserve">25°C</w:t>
      </w:r>
    </w:p>
    <w:p>
      <w:pPr>
        <w:pStyle w:val="Heading1"/>
        <w:spacing w:after="150" w:before="300"/>
      </w:pPr>
      <w:r>
        <w:t xml:space="preserve">5. Gas-Phase &amp; Thermodynamic Modeling Choices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Isothermal model: </w:t>
      </w:r>
      <w:r>
        <w:t xml:space="preserve">confirmed (external cold bath assumed to hold constant temperature throughout charge/discharge)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Equation of state: </w:t>
      </w:r>
      <w:r>
        <w:t xml:space="preserve">ideal gas (adequate at 1–15 bar)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Adsorption/desorption kinetics: </w:t>
      </w:r>
      <w:r>
        <w:t xml:space="preserve">instantaneous equilibrium (not rate-limited)</w:t>
      </w:r>
    </w:p>
    <w:p>
      <w:pPr>
        <w:pStyle w:val="Heading1"/>
        <w:spacing w:after="150" w:before="300"/>
      </w:pPr>
      <w:r>
        <w:t xml:space="preserve">6. Numerical / Software Setup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Platform: </w:t>
      </w:r>
      <w:r>
        <w:t xml:space="preserve">developer's choice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Time resolution: </w:t>
      </w:r>
      <w:r>
        <w:t xml:space="preserve">minutes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Spatial resolution: </w:t>
      </w:r>
      <w:r>
        <w:t xml:space="preserve">lumped, well-mixed tank model (no 1D bed profile)</w:t>
      </w:r>
    </w:p>
    <w:p>
      <w:pPr>
        <w:pStyle w:val="Heading1"/>
        <w:spacing w:after="150" w:before="300"/>
      </w:pPr>
      <w:r>
        <w:t xml:space="preserve">7. Required Outputs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Isotherm plot for all 4 samples — adsorption capacity (wt%) vs. partial pressure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Desorption vs. 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Mass of hydrogen adsorbed per sample</w:t>
      </w:r>
    </w:p>
    <w:p>
      <w:pPr>
        <w:spacing w:after="160"/>
      </w:pPr>
      <w:r>
        <w:rPr>
          <w:i/>
          <w:iCs/>
        </w:rPr>
        <w:t xml:space="preserve">Recommended addition, not explicitly requested but implied by the duty cycle above: vessel pressure and H2 mass stored vs. time during charge, and a capacity-vs-cycle-number plot across the 5 cycles, for completeness against the degradation testing described elsewhere in the thesis — confirm with Abdul if these should be included.</w:t>
      </w:r>
    </w:p>
    <w:p>
      <w:pPr>
        <w:pStyle w:val="Heading1"/>
        <w:spacing w:after="150" w:before="300"/>
      </w:pPr>
      <w:r>
        <w:t xml:space="preserve">8. Resolved Items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DOE target ambiguity → 5.5 wt% confirmed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Loading/charging temperature ambiguity → −78°C confirmed (dry ice/acetone bath)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Desorption conditions → 80–100°C heating required confirmed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Material naming → Zeolite-14A (both powder and granule forms)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Bed void fraction → 0.35–0.40 confirmed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2026-08-24T10:43:13.520Z</dcterms:created>
  <dcterms:modified xsi:type="dcterms:W3CDTF">2026-08-24T10:43:13.520Z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