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Parameters, Assumptions and Deviations</w:t>
      </w:r>
    </w:p>
    <w:p>
      <w:pPr>
        <w:pStyle w:val="Heading1"/>
      </w:pPr>
      <w:r>
        <w:t>Approach</w:t>
      </w:r>
    </w:p>
    <w:p>
      <w:r>
        <w:t>Langmuir isotherm (spec Section 2) fitted to Langmi et al. (2003) zeolite 5A data at 77 K, transferred to the operating temperature through the affinity constant b(T) = b(77 K) × exp[(q_st/R)(1/T − 1/77)]. Saturation capacity counts adsorption sites and is held temperature-independent. The vessel is a lumped, well-mixed tank (Section 6) with ideal-gas behaviour (Section 5) and instantaneous adsorption equilibrium (Section 5).</w:t>
      </w:r>
    </w:p>
    <w:p>
      <w:pPr>
        <w:pStyle w:val="Heading1"/>
      </w:pPr>
      <w:r>
        <w:t>Fitted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pPr>
              <w:jc w:val="center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q_max (5A basis)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1.2260 wt%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Fitted to Langmi (2003)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b at 77 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0.3169 /bar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Fitted to Langmi (2003)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Fit max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7.81%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Langmuir, 5 points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Powder enhancement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×1.15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Erdogan et al. (2024)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Granule binder fraction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0.175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Sister spec; not given here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Regular-form factor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×0.75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ESTIMATE — see below</w:t>
            </w:r>
          </w:p>
        </w:tc>
      </w:tr>
    </w:tbl>
    <w:p>
      <w:pPr>
        <w:pStyle w:val="Heading1"/>
      </w:pPr>
      <w:r>
        <w:t>Deviations and flagged assumptions</w:t>
      </w:r>
    </w:p>
    <w:p>
      <w:pPr>
        <w:pStyle w:val="Heading2"/>
      </w:pPr>
      <w:r>
        <w:t>The 2.2 wt% plausibility floor is a 77 K figure [SPEC-DEV-1]</w:t>
      </w:r>
    </w:p>
    <w:p>
      <w:r>
        <w:t>Section 2's developer note cites '~2.2 wt% at near-ambient temperature, 0–15 bar' and instructs treating it as a floor to exceed at −78 °C. Zeolites hold on the order of 1e-3 wt% at 25 °C and ~0.05 wt% at −78 °C; 2.2 wt% is a liquid-nitrogen result. Anchoring to it would embed a 40–1000× error. It is recorded here as a citation to correct before submission.</w:t>
      </w:r>
    </w:p>
    <w:p>
      <w:pPr>
        <w:pStyle w:val="Heading2"/>
      </w:pPr>
      <w:r>
        <w:t>Isothermal and thermal-swing cannot both hold [SPEC-DEV-2]</w:t>
      </w:r>
    </w:p>
    <w:p>
      <w:r>
        <w:t>Section 5 fixes the model isothermal at −78 °C; Section 4 desorbs by heating to 80–100 °C. Modelled as isothermal within each stage with explicit ramps between.</w:t>
      </w:r>
    </w:p>
    <w:p>
      <w:pPr>
        <w:pStyle w:val="Heading2"/>
      </w:pPr>
      <w:r>
        <w:t>Source pressure cannot fill to target [SPEC-DEV-3]</w:t>
      </w:r>
    </w:p>
    <w:p>
      <w:r>
        <w:t>Section 4 gives a source 'below 10 bar' and a target of 10 bar. Source pressure is a parameter defaulting above the target so charging can complete.</w:t>
      </w:r>
    </w:p>
    <w:p>
      <w:pPr>
        <w:pStyle w:val="Heading2"/>
      </w:pPr>
      <w:r>
        <w:t>'Zeolite-14A' is not a standard designation [SPEC-DEV-4]</w:t>
      </w:r>
    </w:p>
    <w:p>
      <w:r>
        <w:t>LTA is supplied as 3A/4A/5A; 13X is a FAU framework. Ca-exchanged zeolite A is 5A and untreated Na-form zeolite A is 4A. The activated/regular pair is modelled as 5A/4A — which means published isotherms already exist for the activated samples.</w:t>
      </w:r>
    </w:p>
    <w:p>
      <w:pPr>
        <w:pStyle w:val="Heading2"/>
      </w:pPr>
      <w:r>
        <w:t>No adsorption kinetics exist in this model [SPEC-DEV-5]</w:t>
      </w:r>
    </w:p>
    <w:p>
      <w:r>
        <w:t>Section 5 specifies instantaneous equilibrium, so the sorbent contributes no time constant. The 'desorption vs time' curve required by Section 7 is shaped entirely by the heating and venting schedule.</w:t>
      </w:r>
    </w:p>
    <w:p>
      <w:pPr>
        <w:pStyle w:val="Heading2"/>
      </w:pPr>
      <w:r>
        <w:t>Regular-form capacity is an unanchored estimate</w:t>
      </w:r>
    </w:p>
    <w:p>
      <w:r>
        <w:t>Regular (Na-form, 4A) capacity is estimated at 75% of the Ca-exchanged (5A) value. No published 4A isotherm is supplied by the specification. This single number sets the entire activated-vs-regular result and must be replaced with a measured or literature isotherm before the comparison carries any weight.</w:t>
      </w:r>
    </w:p>
    <w:p>
      <w:pPr>
        <w:pStyle w:val="Heading2"/>
      </w:pPr>
      <w:r>
        <w:t>Heating assumed to occur with the outlet closed</w:t>
      </w:r>
    </w:p>
    <w:p>
      <w:r>
        <w:t>The specification does not say whether the vessel is sealed during the heating stage. Sealed is modelled as the conservative case, and it is what produces the over-pressure finding. If the outlet is open to the delivery line throughout heating, peak pressure stays at the delivery value and the finding does not apply.</w:t>
      </w:r>
    </w:p>
    <w:p>
      <w:pPr>
        <w:pStyle w:val="Heading2"/>
      </w:pPr>
      <w:r>
        <w:t>Insulation not specified</w:t>
      </w:r>
    </w:p>
    <w:p>
      <w:r>
        <w:t>Section 3 notes insulation is present but gives no type or thickness. The isothermal assumption stands in for perfect insulation; no heat-leak term is modelled, so hold-time performance is optimistic.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