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Name: Jay Keluskar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Roll : 24102C0086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 CMPN-C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E-Waste Asgn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Indian Companies Following E-waste Rules: A Comparative Study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  <w:r w:rsidDel="00000000" w:rsidR="00000000" w:rsidRPr="00000000">
        <w:rPr>
          <w:rtl w:val="0"/>
        </w:rPr>
        <w:t xml:space="preserve"> With rapid technological advancements and increasing consumption of electronic products in India, electronic waste (e-waste) management has become a critical environmental concern. The Ministry of Environment, Forest and Climate Change (MoEFCC) enacted the </w:t>
      </w:r>
      <w:r w:rsidDel="00000000" w:rsidR="00000000" w:rsidRPr="00000000">
        <w:rPr>
          <w:b w:val="1"/>
          <w:bCs w:val="1"/>
          <w:rtl w:val="0"/>
        </w:rPr>
        <w:t xml:space="preserve">E-Waste (Management) Rules</w:t>
      </w:r>
      <w:r w:rsidDel="00000000" w:rsidR="00000000" w:rsidRPr="00000000">
        <w:rPr>
          <w:rtl w:val="0"/>
        </w:rPr>
        <w:t xml:space="preserve"> to enforce Extended Producer Responsibility (EPR), requiring manufacturers, refurbishers, and recyclers to systematically collect, channel, and process e-waste safely.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report presents a comparative study of major Indian tech and electronics companies adhering to E-waste compliance frameworks.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Comparative Analysis of Leading Indian Companies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Tata Consultancy Services (TCS)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Wipro Limited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Reliance Digital / Jio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Havells India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Industry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 Services &amp; Solutions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 Services &amp; Solutions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Electronics Retail / Telecom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Consumer Electronics &amp; Electricals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EPR Compliance Mechanism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 partnerships with CPCB-authorized recyclers; strict asset disposition policies.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In-house collection schemes + authorized EPR recycling partners.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Take-back programs across retail outlets &amp; authorized collection points.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Authorized PRO (Producer Responsibility Organization) tie-ups.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Collection &amp; Take-Back Initiatives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Internal hardware retirement, e-waste drives across corporate campuses.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Customer e-waste take-back services &amp; campus e-waste segregation.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Consumer trade-in programs and recycling drop-off centers at retail stores.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Consumer take-back drives &amp; appliance recycling schemes.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Hazardous Material Reduction (RoHS Compliance)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Enforces strict procurement policies for RoHS-certified hardware.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Standardized procurement adhering to hazardous material restrictions.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Mandates eco-friendly and compliant component sourcing for own-brand products.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Phasing out heavy metals (lead, mercury) in lighting and electrical appliances.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Strengths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 corporate transparency; 100% compliant asset lifecycle tracking.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Early adopter of green IT practices; extensive public reporting.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Massive retail footprint enabling widespread consumer collection access.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Strong nationwide supply chain integration for end-of-life appliances.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Strategic Key Takeaways &amp; Recommendations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EPR Enforcement:</w:t>
      </w:r>
      <w:r w:rsidDel="00000000" w:rsidR="00000000" w:rsidRPr="00000000">
        <w:rPr>
          <w:rtl w:val="0"/>
        </w:rPr>
        <w:t xml:space="preserve"> Companies with dedicated Producer Responsibility Organizations (PROs) and direct recycler partnerships achieve significantly higher collection targets set by the Central Pollution Control Board (CPCB).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Consumer Awareness Gap:</w:t>
      </w:r>
      <w:r w:rsidDel="00000000" w:rsidR="00000000" w:rsidRPr="00000000">
        <w:rPr>
          <w:rtl w:val="0"/>
        </w:rPr>
        <w:t xml:space="preserve"> While corporate IT e-waste management (B2B) is highly structured, consumer take-back mechanisms (B2C) require stronger incentives (e.g., trade-in discounts, convenient drop-off bins).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Integration of Informal Sector:</w:t>
      </w:r>
      <w:r w:rsidDel="00000000" w:rsidR="00000000" w:rsidRPr="00000000">
        <w:rPr>
          <w:rtl w:val="0"/>
        </w:rPr>
        <w:t xml:space="preserve"> Partnering with informal waste collectors to transition them into authorized, safe recycling channels remains a key strategic opportunity for Indian enterprises.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expand this into a detailed formal report or adjust specific companies in the comparison table?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