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Design and Implementation of a District-Level E-Waste Management Tracker for the State of Maharashtra</w:t>
      </w:r>
    </w:p>
    <w:p>
      <w:pPr>
        <w:spacing w:after="40"/>
        <w:jc w:val="center"/>
      </w:pPr>
      <w:r>
        <w:rPr>
          <w:rFonts w:ascii="Times New Roman" w:cs="Times New Roman" w:eastAsia="Times New Roman" w:hAnsi="Times New Roman"/>
          <w:i/>
          <w:iCs/>
          <w:sz w:val="22"/>
          <w:szCs w:val="22"/>
        </w:rPr>
        <w:t xml:space="preserve">Data Analytics Report</w:t>
      </w:r>
    </w:p>
    <w:p>
      <w:pPr>
        <w:spacing w:after="300"/>
        <w:jc w:val="center"/>
      </w:pPr>
      <w:r>
        <w:rPr>
          <w:rFonts w:ascii="Times New Roman" w:cs="Times New Roman" w:eastAsia="Times New Roman" w:hAnsi="Times New Roman"/>
          <w:sz w:val="18"/>
          <w:szCs w:val="18"/>
        </w:rPr>
        <w:t xml:space="preserve">Prepared using publicly available Census, CPCB, and E-Waste (Management) Rules, 2022 data</w:t>
      </w:r>
    </w:p>
    <w:p>
      <w:pPr>
        <w:sectPr>
          <w:type w:val="continuous"/>
          <w:pgSz w:w="12240" w:h="15840" w:orient="portrait"/>
          <w:pgMar w:top="1080" w:right="900" w:bottom="1440" w:left="900" w:header="708" w:footer="708" w:gutter="0"/>
          <w:pgNumType/>
          <w:docGrid w:linePitch="360"/>
        </w:sectPr>
      </w:pPr>
    </w:p>
    <w:p>
      <w:pPr>
        <w:spacing w:after="12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India generates a large and rapidly growing volume of electronic waste (e-waste), yet regulatory monitoring below the state level remains fragmented. This report documents the design of a 36-district e-waste management tracker for the State of Maharashtra, built as a structured spreadsheet instrument covering generation inventory, collection performance, formal recycling infrastructure, regulatory compliance, informal-sector integration, environmental and health monitoring, and awareness outreach. District population is sourced from the Census of India (2011); e-waste generation is modeled using a documented national per-capita rate and category-composition split; collection performance is anchored to Extended Producer Responsibility (EPR) targets under the E-Waste (Management) Rules, 2022 and national EPR-portal reporting. Operational fields that require field-level registry or inspection records are populated with clearly labeled illustrative placeholder data pending real data collection. The resulting instrument provides a fully populated, formula-driven baseline for state-level e-waste governance reporting and scenario analysis.</w:t>
      </w:r>
    </w:p>
    <w:p>
      <w:pPr>
        <w:spacing w:after="20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e-waste, Extended Producer Responsibility, Maharashtra, district-level inventory, CPCB, circular economy, informal recycling sector</w:t>
      </w:r>
    </w:p>
    <w:p>
      <w:pPr>
        <w:spacing w:after="120" w:before="240"/>
        <w:jc w:val="center"/>
      </w:pPr>
      <w:r>
        <w:rPr>
          <w:rFonts w:ascii="Times New Roman" w:cs="Times New Roman" w:eastAsia="Times New Roman" w:hAnsi="Times New Roman"/>
          <w:b/>
          <w:bCs/>
          <w:sz w:val="20"/>
          <w:szCs w:val="20"/>
        </w:rPr>
        <w:t xml:space="preserve">I. INTRODUCTION</w:t>
      </w:r>
    </w:p>
    <w:p>
      <w:pPr>
        <w:spacing w:after="120" w:line="240"/>
        <w:ind w:firstLine="360"/>
        <w:jc w:val="both"/>
      </w:pPr>
      <w:r>
        <w:rPr>
          <w:rFonts w:ascii="Times New Roman" w:cs="Times New Roman" w:eastAsia="Times New Roman" w:hAnsi="Times New Roman"/>
          <w:sz w:val="20"/>
          <w:szCs w:val="20"/>
        </w:rPr>
        <w:t xml:space="preserve">Electronic waste is among the fastest-growing categories of solid waste in India, driven by rising consumption of information technology, telecommunication, and consumer electronic products and by shortening replacement cycles. The Central Pollution Control Board (CPCB) reported a national e-waste generation figure of approximately 16,01,155 tonnes for FY 2021-22 [1]. Effective management of this waste stream requires visibility at the sub-state level, since generation, formal collection infrastructure, and informal-sector activity vary substantially across districts with different population density, industrial composition, and urbanization.</w:t>
      </w:r>
    </w:p>
    <w:p>
      <w:pPr>
        <w:spacing w:after="120" w:line="240"/>
        <w:ind w:firstLine="360"/>
        <w:jc w:val="both"/>
      </w:pPr>
      <w:r>
        <w:rPr>
          <w:rFonts w:ascii="Times New Roman" w:cs="Times New Roman" w:eastAsia="Times New Roman" w:hAnsi="Times New Roman"/>
          <w:sz w:val="20"/>
          <w:szCs w:val="20"/>
        </w:rPr>
        <w:t xml:space="preserve">Maharashtra, India's second most populous state with a 2011 Census population of over 112 million spread across 36 districts, illustrates this challenge. This report describes the construction of a district-level e-waste tracker for Maharashtra intended to serve as a baseline monitoring instrument, structured around seven functional data sheets and a composite scorecard, consistent with the reporting obligations introduced under the E-Waste (Management) Rules, 2022.</w:t>
      </w:r>
    </w:p>
    <w:p>
      <w:pPr>
        <w:spacing w:after="120" w:before="240"/>
        <w:jc w:val="center"/>
      </w:pPr>
      <w:r>
        <w:rPr>
          <w:rFonts w:ascii="Times New Roman" w:cs="Times New Roman" w:eastAsia="Times New Roman" w:hAnsi="Times New Roman"/>
          <w:b/>
          <w:bCs/>
          <w:sz w:val="20"/>
          <w:szCs w:val="20"/>
        </w:rPr>
        <w:t xml:space="preserve">II. REGULATORY FRAMEWORK</w:t>
      </w:r>
    </w:p>
    <w:p>
      <w:pPr>
        <w:spacing w:after="120" w:line="240"/>
        <w:ind w:firstLine="360"/>
        <w:jc w:val="both"/>
      </w:pPr>
      <w:r>
        <w:rPr>
          <w:rFonts w:ascii="Times New Roman" w:cs="Times New Roman" w:eastAsia="Times New Roman" w:hAnsi="Times New Roman"/>
          <w:sz w:val="20"/>
          <w:szCs w:val="20"/>
        </w:rPr>
        <w:t xml:space="preserve">The E-Waste (Management) Rules, 2022, administered by the Ministry of Environment, Forest and Climate Change (MoEFCC), replaced the 2016 rules and introduced an expanded Extended Producer Responsibility (EPR) regime covering 106 categories of electrical and electronic equipment (EEE) under Schedule I [2]. Under Schedule III, producers are subject to phased annual recycling/collection targets: 60% of the relevant generation base for FY 2023-24 and FY 2024-25, rising to 70% for FY 2025-26 and FY 2026-27, and 80% from FY 2027-28 onward [2], [3]. Compliance is tracked through a centralized EPR portal on which producers, recyclers, and refurbishers register and transact EPR certificates; national reporting under this system indicated a formal collection/recycling share of approximately 61.94% in FY 2023-24, rising to approximately 70.71% in FY 2024-25 [4]. These two figures — the regulatory target and the observed national achievement rate — form the quantitative anchors for the collection-performance model described in Section III.</w:t>
      </w:r>
    </w:p>
    <w:p>
      <w:pPr>
        <w:spacing w:after="120" w:before="240"/>
        <w:jc w:val="center"/>
      </w:pPr>
      <w:r>
        <w:rPr>
          <w:rFonts w:ascii="Times New Roman" w:cs="Times New Roman" w:eastAsia="Times New Roman" w:hAnsi="Times New Roman"/>
          <w:b/>
          <w:bCs/>
          <w:sz w:val="20"/>
          <w:szCs w:val="20"/>
        </w:rPr>
        <w:t xml:space="preserve">III. DATA SOURCES AND METHODOLOGY</w:t>
      </w:r>
    </w:p>
    <w:p>
      <w:pPr>
        <w:spacing w:after="80" w:before="160"/>
        <w:jc w:val="both"/>
      </w:pPr>
      <w:r>
        <w:rPr>
          <w:rFonts w:ascii="Times New Roman" w:cs="Times New Roman" w:eastAsia="Times New Roman" w:hAnsi="Times New Roman"/>
          <w:b/>
          <w:bCs/>
          <w:i/>
          <w:iCs/>
          <w:sz w:val="20"/>
          <w:szCs w:val="20"/>
        </w:rPr>
        <w:t xml:space="preserve">A. Administrative and Demographic Baseline</w:t>
      </w:r>
    </w:p>
    <w:p>
      <w:pPr>
        <w:spacing w:after="120" w:line="240"/>
        <w:ind w:firstLine="360"/>
        <w:jc w:val="both"/>
      </w:pPr>
      <w:r>
        <w:rPr>
          <w:rFonts w:ascii="Times New Roman" w:cs="Times New Roman" w:eastAsia="Times New Roman" w:hAnsi="Times New Roman"/>
          <w:sz w:val="20"/>
          <w:szCs w:val="20"/>
        </w:rPr>
        <w:t xml:space="preserve">All 36 districts of Maharashtra are enumerated with their 2011 Census population, the most recent official district-level population count available [5]. Three districts renamed since the 2011 Census — Ahmednagar to Ahilyanagar, Aurangabad to Chhatrapati Sambhajinagar, and Osmanabad to Dharashiv — are recorded under their current official names, with the former name retained as a cross-reference. The state total across all 36 districts is approximately 112.37 million, consistent with published Census aggregates.</w:t>
      </w:r>
    </w:p>
    <w:p>
      <w:pPr>
        <w:spacing w:after="80" w:before="160"/>
        <w:jc w:val="both"/>
      </w:pPr>
      <w:r>
        <w:rPr>
          <w:rFonts w:ascii="Times New Roman" w:cs="Times New Roman" w:eastAsia="Times New Roman" w:hAnsi="Times New Roman"/>
          <w:b/>
          <w:bCs/>
          <w:i/>
          <w:iCs/>
          <w:sz w:val="20"/>
          <w:szCs w:val="20"/>
        </w:rPr>
        <w:t xml:space="preserve">B. Generation Estimation Model</w:t>
      </w:r>
    </w:p>
    <w:p>
      <w:pPr>
        <w:spacing w:after="120" w:line="240"/>
        <w:ind w:firstLine="360"/>
        <w:jc w:val="both"/>
      </w:pPr>
      <w:r>
        <w:rPr>
          <w:rFonts w:ascii="Times New Roman" w:cs="Times New Roman" w:eastAsia="Times New Roman" w:hAnsi="Times New Roman"/>
          <w:sz w:val="20"/>
          <w:szCs w:val="20"/>
        </w:rPr>
        <w:t xml:space="preserve">In the absence of a published district-wise e-waste generation dataset for Maharashtra, district generation is estimated using a population-driven model: Generation = Population × per-capita rate × category share. The per-capita rate (1.2 kg/person/year) is derived from the CPCB national generation figure divided by India's estimated population; a higher alternative figure of 2.4 kg/person/year reported by the SDG India Index (2021) is noted as a documented upper bound [6]. Total e-waste is disaggregated across six EEE categories — IT &amp; Telecom (46%), Consumer Electrical &amp; Electronics (32%), Large &amp; Small Equipment (12%), Lighting Equipment (2%), Batteries (5%), and Other (3%) — using a typical Indian composition split drawn from industry and CPCB category studies. Both the per-capita rate and the category shares are exposed as editable assumption cells so that the model recalculates automatically when better data becomes available.</w:t>
      </w:r>
    </w:p>
    <w:p>
      <w:pPr>
        <w:spacing w:after="80" w:before="160"/>
        <w:jc w:val="both"/>
      </w:pPr>
      <w:r>
        <w:rPr>
          <w:rFonts w:ascii="Times New Roman" w:cs="Times New Roman" w:eastAsia="Times New Roman" w:hAnsi="Times New Roman"/>
          <w:b/>
          <w:bCs/>
          <w:i/>
          <w:iCs/>
          <w:sz w:val="20"/>
          <w:szCs w:val="20"/>
        </w:rPr>
        <w:t xml:space="preserve">C. Collection Performance Model</w:t>
      </w:r>
    </w:p>
    <w:p>
      <w:pPr>
        <w:spacing w:after="120" w:line="240"/>
        <w:ind w:firstLine="360"/>
        <w:jc w:val="both"/>
      </w:pPr>
      <w:r>
        <w:rPr>
          <w:rFonts w:ascii="Times New Roman" w:cs="Times New Roman" w:eastAsia="Times New Roman" w:hAnsi="Times New Roman"/>
          <w:sz w:val="20"/>
          <w:szCs w:val="20"/>
        </w:rPr>
        <w:t xml:space="preserve">District-level Collected quantity and EPR Collection Achieved are modeled by applying the national FY 2024-25 achievement rate (70.71%) to each district's estimated generation, on the working assumption that district performance approximates the national average absent district-specific EPR-portal disclosures. The EPR Collection Target is computed by applying the current regulatory target rate (70%, FY 2025-26 to FY 2026-27) to the same generation base. Registered Collection Centers has no corresponding published benchmark and is therefore populated using an explicitly labeled illustrative planning ratio rather than being left blank.</w:t>
      </w:r>
    </w:p>
    <w:p>
      <w:pPr>
        <w:spacing w:after="80" w:before="160"/>
        <w:jc w:val="both"/>
      </w:pPr>
      <w:r>
        <w:rPr>
          <w:rFonts w:ascii="Times New Roman" w:cs="Times New Roman" w:eastAsia="Times New Roman" w:hAnsi="Times New Roman"/>
          <w:b/>
          <w:bCs/>
          <w:i/>
          <w:iCs/>
          <w:sz w:val="20"/>
          <w:szCs w:val="20"/>
        </w:rPr>
        <w:t xml:space="preserve">D. Operational and Field-Level Records</w:t>
      </w:r>
    </w:p>
    <w:p>
      <w:pPr>
        <w:spacing w:after="120" w:line="240"/>
        <w:ind w:firstLine="360"/>
        <w:jc w:val="both"/>
      </w:pPr>
      <w:r>
        <w:rPr>
          <w:rFonts w:ascii="Times New Roman" w:cs="Times New Roman" w:eastAsia="Times New Roman" w:hAnsi="Times New Roman"/>
          <w:sz w:val="20"/>
          <w:szCs w:val="20"/>
        </w:rPr>
        <w:t xml:space="preserve">Recycler and dismantler registrations, producer compliance status, informal-sector hotspot locations and worker counts, environmental and health monitoring outcomes, and awareness-program records cannot be derived from any population- or regulation-based formula, since they describe specific real-world entities and events (named facilities, authorization numbers, inspection outcomes) that only exist in state pollution control board registries and field surveys. These fields are populated with clearly marked illustrative placeholder records for structural completeness and are visually distinguished (shaded) from modeled and source-verified data so they are not mistaken for actual government records.</w:t>
      </w:r>
    </w:p>
    <w:p>
      <w:pPr>
        <w:spacing w:after="120" w:before="240"/>
        <w:jc w:val="center"/>
      </w:pPr>
      <w:r>
        <w:rPr>
          <w:rFonts w:ascii="Times New Roman" w:cs="Times New Roman" w:eastAsia="Times New Roman" w:hAnsi="Times New Roman"/>
          <w:b/>
          <w:bCs/>
          <w:sz w:val="20"/>
          <w:szCs w:val="20"/>
        </w:rPr>
        <w:t xml:space="preserve">IV. TRACKER ARCHITECTURE</w:t>
      </w:r>
    </w:p>
    <w:p>
      <w:pPr>
        <w:spacing w:after="120" w:line="240"/>
        <w:ind w:firstLine="360"/>
        <w:jc w:val="both"/>
      </w:pPr>
      <w:r>
        <w:rPr>
          <w:rFonts w:ascii="Times New Roman" w:cs="Times New Roman" w:eastAsia="Times New Roman" w:hAnsi="Times New Roman"/>
          <w:sz w:val="20"/>
          <w:szCs w:val="20"/>
        </w:rPr>
        <w:t xml:space="preserve">The tracker is organized as an eight-tab workbook: a composite scorecard and seven data sheets, each structured as one row per district (36 rows) to enable consistent cross-sheet lookups by district name. Table I summarizes the structure and data basis of each sheet.</w:t>
      </w:r>
    </w:p>
    <w:p>
      <w:pPr>
        <w:spacing w:after="80" w:before="160"/>
        <w:jc w:val="center"/>
      </w:pPr>
      <w:r>
        <w:rPr>
          <w:rFonts w:ascii="Times New Roman" w:cs="Times New Roman" w:eastAsia="Times New Roman" w:hAnsi="Times New Roman"/>
          <w:b w:val="false"/>
          <w:bCs w:val="false"/>
          <w:sz w:val="18"/>
          <w:szCs w:val="18"/>
        </w:rPr>
        <w:t xml:space="preserve">TABLE I</w:t>
      </w:r>
      <w:r>
        <w:rPr>
          <w:rFonts w:ascii="Times New Roman" w:cs="Times New Roman" w:eastAsia="Times New Roman" w:hAnsi="Times New Roman"/>
          <w:sz w:val="18"/>
          <w:szCs w:val="18"/>
        </w:rPr>
        <w:t xml:space="preserve">
Tracker Sheet Structure and Data Basis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540"/>
      </w:tblGrid>
      <w:tr>
        <w:trPr>
          <w:tblHeader/>
        </w:trPr>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Sheet</w:t>
            </w:r>
          </w:p>
        </w:tc>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Contents</w:t>
            </w:r>
          </w:p>
        </w:tc>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Data Basis</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 Generation Inventory</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Population, waste generated by category</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Census 2011; per-capita model</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2. Collection Log</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Collected, EPR target/achieved, centers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EPR Rules 2022; national portal rate</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3. Recycling Infrastructure</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Recyclers, capacity, recovery rate</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4. Compliance Tracker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Producers, EPR status, inspections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5. Informal Sector Hotspots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Clusters, worker counts, status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6. Env./Health Monitoring</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Site visits, results, health camps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7. Awareness Programs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Campaigns, audience, participants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Illustrative placeholder</w:t>
            </w:r>
          </w:p>
        </w:tc>
      </w:tr>
    </w:tbl>
    <w:p>
      <w:pPr>
        <w:spacing w:after="160"/>
      </w:pPr>
    </w:p>
    <w:p>
      <w:pPr>
        <w:spacing w:after="120" w:line="240"/>
        <w:ind w:firstLine="360"/>
        <w:jc w:val="both"/>
      </w:pPr>
      <w:r>
        <w:rPr>
          <w:rFonts w:ascii="Times New Roman" w:cs="Times New Roman" w:eastAsia="Times New Roman" w:hAnsi="Times New Roman"/>
          <w:sz w:val="20"/>
          <w:szCs w:val="20"/>
        </w:rPr>
        <w:t xml:space="preserve">The scorecard aggregates seven weighted indicators — districts reporting, collection performance, formal recycling and treatment capacity, regulatory compliance, informal-sector integration, environmental/health safeguards, and awareness outreach — into a composite 100-point score, consistent in structure with typical state environmental performance dashboards.</w:t>
      </w:r>
    </w:p>
    <w:p>
      <w:pPr>
        <w:spacing w:after="120" w:before="240"/>
        <w:jc w:val="center"/>
      </w:pPr>
      <w:r>
        <w:rPr>
          <w:rFonts w:ascii="Times New Roman" w:cs="Times New Roman" w:eastAsia="Times New Roman" w:hAnsi="Times New Roman"/>
          <w:b/>
          <w:bCs/>
          <w:sz w:val="20"/>
          <w:szCs w:val="20"/>
        </w:rPr>
        <w:t xml:space="preserve">V. RESULTS</w:t>
      </w:r>
    </w:p>
    <w:p>
      <w:pPr>
        <w:spacing w:after="120" w:line="240"/>
        <w:ind w:firstLine="360"/>
        <w:jc w:val="both"/>
      </w:pPr>
      <w:r>
        <w:rPr>
          <w:rFonts w:ascii="Times New Roman" w:cs="Times New Roman" w:eastAsia="Times New Roman" w:hAnsi="Times New Roman"/>
          <w:sz w:val="20"/>
          <w:szCs w:val="20"/>
        </w:rPr>
        <w:t xml:space="preserve">Applying the generation model to all 36 districts yields a state-level estimated generation of approximately 134,843 tonnes/year, consistent by construction with the 1.2 kg/person/year assumption applied to the 112.37 million Census population. Applying the collection model yields an estimated 95,348 tonnes/year collected (70.71% of generation) against a regulatory target of 94,390 tonnes/year (70% of generation). Table II reports the principal state-level aggregates.</w:t>
      </w:r>
    </w:p>
    <w:p>
      <w:pPr>
        <w:spacing w:after="80" w:before="160"/>
        <w:jc w:val="center"/>
      </w:pPr>
      <w:r>
        <w:rPr>
          <w:rFonts w:ascii="Times New Roman" w:cs="Times New Roman" w:eastAsia="Times New Roman" w:hAnsi="Times New Roman"/>
          <w:b w:val="false"/>
          <w:bCs w:val="false"/>
          <w:sz w:val="18"/>
          <w:szCs w:val="18"/>
        </w:rPr>
        <w:t xml:space="preserve">TABLE II</w:t>
      </w:r>
      <w:r>
        <w:rPr>
          <w:rFonts w:ascii="Times New Roman" w:cs="Times New Roman" w:eastAsia="Times New Roman" w:hAnsi="Times New Roman"/>
          <w:sz w:val="18"/>
          <w:szCs w:val="18"/>
        </w:rPr>
        <w:t xml:space="preserve">
State-Level Aggregate Estimates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40"/>
        <w:gridCol w:w="2500"/>
      </w:tblGrid>
      <w:tr>
        <w:trPr>
          <w:tblHeader/>
        </w:trPr>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Metric</w:t>
            </w:r>
          </w:p>
        </w:tc>
        <w:tc>
          <w:tcPr>
            <w:tcW w:type="auto" w:w="0"/>
            <w:shd w:fill="D9E1F2" w:val="clear"/>
            <w:tcMar>
              <w:top w:type="dxa" w:w="40"/>
              <w:left w:type="dxa" w:w="80"/>
              <w:bottom w:type="dxa" w:w="40"/>
              <w:right w:type="dxa" w:w="80"/>
            </w:tcMar>
            <w:vAlign w:val="center"/>
          </w:tcPr>
          <w:p>
            <w:pPr>
              <w:jc w:val="left"/>
            </w:pPr>
            <w:r>
              <w:rPr>
                <w:rFonts w:ascii="Times New Roman" w:cs="Times New Roman" w:eastAsia="Times New Roman" w:hAnsi="Times New Roman"/>
                <w:b/>
                <w:bCs/>
                <w:sz w:val="16"/>
                <w:szCs w:val="16"/>
              </w:rPr>
              <w:t xml:space="preserve">Value</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Districts covered</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36</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Total population (2011 Census)</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112,369,436</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Est. e-waste generated (t/yr)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134,843</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Est. e-waste collected (t/yr)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95,348</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EPR collection target (t/yr)</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94,390</w:t>
            </w:r>
          </w:p>
        </w:tc>
      </w:tr>
      <w:tr>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Composite scorecard (of 100)</w:t>
            </w:r>
          </w:p>
        </w:tc>
        <w:tc>
          <w:tcPr>
            <w:tcW w:type="auto" w:w="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82.9 (“Good”)*</w:t>
            </w:r>
          </w:p>
        </w:tc>
      </w:tr>
    </w:tbl>
    <w:p>
      <w:pPr>
        <w:spacing w:after="120" w:line="240"/>
        <w:jc w:val="both"/>
      </w:pPr>
      <w:r>
        <w:rPr>
          <w:rFonts w:ascii="Times New Roman" w:cs="Times New Roman" w:eastAsia="Times New Roman" w:hAnsi="Times New Roman"/>
          <w:sz w:val="20"/>
          <w:szCs w:val="20"/>
        </w:rPr>
        <w:t xml:space="preserve">*The composite score reflects a fully populated workbook, including illustrative placeholder entries in Sheets 3-7 (Section III-D); it indicates structural completeness rather than verified real-world performance and should be re-derived once field data replaces the placeholder records.</w:t>
      </w:r>
    </w:p>
    <w:p>
      <w:pPr>
        <w:spacing w:after="120" w:before="240"/>
        <w:jc w:val="center"/>
      </w:pPr>
      <w:r>
        <w:rPr>
          <w:rFonts w:ascii="Times New Roman" w:cs="Times New Roman" w:eastAsia="Times New Roman" w:hAnsi="Times New Roman"/>
          <w:b/>
          <w:bCs/>
          <w:sz w:val="20"/>
          <w:szCs w:val="20"/>
        </w:rPr>
        <w:t xml:space="preserve">VI. LIMITATIONS</w:t>
      </w:r>
    </w:p>
    <w:p>
      <w:pPr>
        <w:spacing w:after="120" w:line="240"/>
        <w:ind w:firstLine="360"/>
        <w:jc w:val="both"/>
      </w:pPr>
      <w:r>
        <w:rPr>
          <w:rFonts w:ascii="Times New Roman" w:cs="Times New Roman" w:eastAsia="Times New Roman" w:hAnsi="Times New Roman"/>
          <w:b/>
          <w:bCs/>
          <w:i w:val="false"/>
          <w:iCs w:val="false"/>
          <w:sz w:val="20"/>
          <w:szCs w:val="20"/>
        </w:rPr>
        <w:t xml:space="preserve">1) National proxies applied uniformly: </w:t>
      </w:r>
      <w:r>
        <w:rPr>
          <w:rFonts w:ascii="Times New Roman" w:cs="Times New Roman" w:eastAsia="Times New Roman" w:hAnsi="Times New Roman"/>
          <w:b w:val="false"/>
          <w:bCs w:val="false"/>
          <w:i w:val="false"/>
          <w:iCs w:val="false"/>
          <w:sz w:val="20"/>
          <w:szCs w:val="20"/>
        </w:rPr>
        <w:t xml:space="preserve">the collection and generation models apply a single national rate to every district; actual district performance will vary with urbanization, industrial base, and local enforcement capacity.</w:t>
      </w:r>
    </w:p>
    <w:p>
      <w:pPr>
        <w:spacing w:after="120" w:line="240"/>
        <w:ind w:firstLine="360"/>
        <w:jc w:val="both"/>
      </w:pPr>
      <w:r>
        <w:rPr>
          <w:rFonts w:ascii="Times New Roman" w:cs="Times New Roman" w:eastAsia="Times New Roman" w:hAnsi="Times New Roman"/>
          <w:b/>
          <w:bCs/>
          <w:i w:val="false"/>
          <w:iCs w:val="false"/>
          <w:sz w:val="20"/>
          <w:szCs w:val="20"/>
        </w:rPr>
        <w:t xml:space="preserve">2) Category composition is a national average: </w:t>
      </w:r>
      <w:r>
        <w:rPr>
          <w:rFonts w:ascii="Times New Roman" w:cs="Times New Roman" w:eastAsia="Times New Roman" w:hAnsi="Times New Roman"/>
          <w:b w:val="false"/>
          <w:bCs w:val="false"/>
          <w:i w:val="false"/>
          <w:iCs w:val="false"/>
          <w:sz w:val="20"/>
          <w:szCs w:val="20"/>
        </w:rPr>
        <w:t xml:space="preserve">the EEE category split is not district- or income-specific and should be refined with local survey data where available.</w:t>
      </w:r>
    </w:p>
    <w:p>
      <w:pPr>
        <w:spacing w:after="120" w:line="240"/>
        <w:ind w:firstLine="360"/>
        <w:jc w:val="both"/>
      </w:pPr>
      <w:r>
        <w:rPr>
          <w:rFonts w:ascii="Times New Roman" w:cs="Times New Roman" w:eastAsia="Times New Roman" w:hAnsi="Times New Roman"/>
          <w:b/>
          <w:bCs/>
          <w:i w:val="false"/>
          <w:iCs w:val="false"/>
          <w:sz w:val="20"/>
          <w:szCs w:val="20"/>
        </w:rPr>
        <w:t xml:space="preserve">3) Sheets 3-7 contain illustrative, non-verified records: </w:t>
      </w:r>
      <w:r>
        <w:rPr>
          <w:rFonts w:ascii="Times New Roman" w:cs="Times New Roman" w:eastAsia="Times New Roman" w:hAnsi="Times New Roman"/>
          <w:b w:val="false"/>
          <w:bCs w:val="false"/>
          <w:i w:val="false"/>
          <w:iCs w:val="false"/>
          <w:sz w:val="20"/>
          <w:szCs w:val="20"/>
        </w:rPr>
        <w:t xml:space="preserve">recycler names, authorization numbers, compliance statuses, hotspot details, monitoring outcomes, and awareness-program records are synthetic placeholders and carry no evidentiary value; they must be replaced with actual Maharashtra Pollution Control Board (MPCB) and CPCB registry data before the tracker is used for regulatory reporting or public disclosure.</w:t>
      </w:r>
    </w:p>
    <w:p>
      <w:pPr>
        <w:spacing w:after="120" w:before="240"/>
        <w:jc w:val="center"/>
      </w:pPr>
      <w:r>
        <w:rPr>
          <w:rFonts w:ascii="Times New Roman" w:cs="Times New Roman" w:eastAsia="Times New Roman" w:hAnsi="Times New Roman"/>
          <w:b/>
          <w:bCs/>
          <w:sz w:val="20"/>
          <w:szCs w:val="20"/>
        </w:rPr>
        <w:t xml:space="preserve">VII. CONCLUSION</w:t>
      </w:r>
    </w:p>
    <w:p>
      <w:pPr>
        <w:spacing w:after="120" w:line="240"/>
        <w:ind w:firstLine="360"/>
        <w:jc w:val="both"/>
      </w:pPr>
      <w:r>
        <w:rPr>
          <w:rFonts w:ascii="Times New Roman" w:cs="Times New Roman" w:eastAsia="Times New Roman" w:hAnsi="Times New Roman"/>
          <w:sz w:val="20"/>
          <w:szCs w:val="20"/>
        </w:rPr>
        <w:t xml:space="preserve">This report has documented a district-level e-waste management tracker for Maharashtra that combines verified Census population data, a transparent population-based generation model, and a regulation-anchored collection-performance model, alongside clearly flagged placeholder data for fields that require field-level registry input. The formula-driven design allows every district figure to be recalculated automatically as underlying assumptions or real data are updated, positioning the tracker as a working baseline for state e-waste governance monitoring rather than a static report.</w:t>
      </w:r>
    </w:p>
    <w:p>
      <w:pPr>
        <w:spacing w:after="120" w:before="240"/>
        <w:jc w:val="center"/>
      </w:pPr>
      <w:r>
        <w:rPr>
          <w:rFonts w:ascii="Times New Roman" w:cs="Times New Roman" w:eastAsia="Times New Roman" w:hAnsi="Times New Roman"/>
          <w:b/>
          <w:bCs/>
          <w:sz w:val="20"/>
          <w:szCs w:val="20"/>
        </w:rPr>
        <w:t xml:space="preserve">REFERENCES</w:t>
      </w:r>
    </w:p>
    <w:p>
      <w:pPr>
        <w:spacing w:after="80" w:line="220"/>
        <w:ind w:left="260" w:hanging="260"/>
        <w:jc w:val="both"/>
      </w:pPr>
      <w:r>
        <w:rPr>
          <w:rFonts w:ascii="Times New Roman" w:cs="Times New Roman" w:eastAsia="Times New Roman" w:hAnsi="Times New Roman"/>
          <w:sz w:val="18"/>
          <w:szCs w:val="18"/>
        </w:rPr>
        <w:t xml:space="preserve">[1]  Press Information Bureau, Government of India, "Cabinet approves E-Waste (Management) Rules, 2022," Ministry of Environment, Forest and Climate Change, 2022.</w:t>
      </w:r>
    </w:p>
    <w:p>
      <w:pPr>
        <w:spacing w:after="80" w:line="220"/>
        <w:ind w:left="260" w:hanging="260"/>
        <w:jc w:val="both"/>
      </w:pPr>
      <w:r>
        <w:rPr>
          <w:rFonts w:ascii="Times New Roman" w:cs="Times New Roman" w:eastAsia="Times New Roman" w:hAnsi="Times New Roman"/>
          <w:sz w:val="18"/>
          <w:szCs w:val="18"/>
        </w:rPr>
        <w:t xml:space="preserve">[2]  Ministry of Environment, Forest and Climate Change, "E-Waste (Management) Rules, 2022," Gazette of India, 2022.</w:t>
      </w:r>
    </w:p>
    <w:p>
      <w:pPr>
        <w:spacing w:after="80" w:line="220"/>
        <w:ind w:left="260" w:hanging="260"/>
        <w:jc w:val="both"/>
      </w:pPr>
      <w:r>
        <w:rPr>
          <w:rFonts w:ascii="Times New Roman" w:cs="Times New Roman" w:eastAsia="Times New Roman" w:hAnsi="Times New Roman"/>
          <w:sz w:val="18"/>
          <w:szCs w:val="18"/>
        </w:rPr>
        <w:t xml:space="preserve">[3]  International Energy Agency, "E-Waste Management Rules, 2022 - Policies," IEA Policy Database, 2023.</w:t>
      </w:r>
    </w:p>
    <w:p>
      <w:pPr>
        <w:spacing w:after="80" w:line="220"/>
        <w:ind w:left="260" w:hanging="260"/>
        <w:jc w:val="both"/>
      </w:pPr>
      <w:r>
        <w:rPr>
          <w:rFonts w:ascii="Times New Roman" w:cs="Times New Roman" w:eastAsia="Times New Roman" w:hAnsi="Times New Roman"/>
          <w:sz w:val="18"/>
          <w:szCs w:val="18"/>
        </w:rPr>
        <w:t xml:space="preserve">[4]  ClarityUPSC, "E-Waste Management India - Environment Notes for UPSC IAS," 2026. [Online educational summary of EPR-portal reporting statistics].</w:t>
      </w:r>
    </w:p>
    <w:p>
      <w:pPr>
        <w:spacing w:after="80" w:line="220"/>
        <w:ind w:left="260" w:hanging="260"/>
        <w:jc w:val="both"/>
      </w:pPr>
      <w:r>
        <w:rPr>
          <w:rFonts w:ascii="Times New Roman" w:cs="Times New Roman" w:eastAsia="Times New Roman" w:hAnsi="Times New Roman"/>
          <w:sz w:val="18"/>
          <w:szCs w:val="18"/>
        </w:rPr>
        <w:t xml:space="preserve">[5]  Census of India, "District Census Handbook, Maharashtra," Office of the Registrar General &amp; Census Commissioner, Government of India, 2011.</w:t>
      </w:r>
    </w:p>
    <w:p>
      <w:pPr>
        <w:spacing w:after="80" w:line="220"/>
        <w:ind w:left="260" w:hanging="260"/>
        <w:jc w:val="both"/>
      </w:pPr>
      <w:r>
        <w:rPr>
          <w:rFonts w:ascii="Times New Roman" w:cs="Times New Roman" w:eastAsia="Times New Roman" w:hAnsi="Times New Roman"/>
          <w:sz w:val="18"/>
          <w:szCs w:val="18"/>
        </w:rPr>
        <w:t xml:space="preserve">[6]  Sustainable Development Solutions Network, "SDG India Index," 2021, as cited in P. Kumar et al., "Electronic waste generation and management scenario of India, and ARIMA forecasting of e-waste processing capacity of Maharashtra state till 2030," ScienceDirect, 2023.</w:t>
      </w:r>
    </w:p>
    <w:p>
      <w:pPr>
        <w:spacing w:after="80" w:line="220"/>
        <w:ind w:left="260" w:hanging="260"/>
        <w:jc w:val="both"/>
      </w:pPr>
      <w:r>
        <w:rPr>
          <w:rFonts w:ascii="Times New Roman" w:cs="Times New Roman" w:eastAsia="Times New Roman" w:hAnsi="Times New Roman"/>
          <w:sz w:val="18"/>
          <w:szCs w:val="18"/>
        </w:rPr>
        <w:t xml:space="preserve">[7]  International Labour Organization, "E-waste and employment around the world," ILO Publications, 2026.</w:t>
      </w:r>
    </w:p>
    <w:p>
      <w:pPr>
        <w:spacing w:after="80" w:line="220"/>
        <w:ind w:left="260" w:hanging="260"/>
        <w:jc w:val="both"/>
      </w:pPr>
      <w:r>
        <w:rPr>
          <w:rFonts w:ascii="Times New Roman" w:cs="Times New Roman" w:eastAsia="Times New Roman" w:hAnsi="Times New Roman"/>
          <w:sz w:val="18"/>
          <w:szCs w:val="18"/>
        </w:rPr>
        <w:t xml:space="preserve">[8]  Global Information Society Watch, "India: Country report - E-waste and the informal sector," Association for Progressive Communications, citing Toxics Link.</w:t>
      </w:r>
    </w:p>
    <w:sectPr>
      <w:type w:val="continuous"/>
      <w:pgSz w:w="12240" w:h="15840" w:orient="portrait"/>
      <w:pgMar w:top="72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928C6F99-81A5-4248-BDEC-AF040EA2A7DB}"/>
</file>

<file path=customXml/itemProps2.xml><?xml version="1.0" encoding="utf-8"?>
<ds:datastoreItem xmlns:ds="http://schemas.openxmlformats.org/officeDocument/2006/customXml" ds:itemID="{3F16D9AF-4D31-4E9B-9C7B-E1B24CC3A2AF}"/>
</file>

<file path=customXml/itemProps3.xml><?xml version="1.0" encoding="utf-8"?>
<ds:datastoreItem xmlns:ds="http://schemas.openxmlformats.org/officeDocument/2006/customXml" ds:itemID="{88C5C2CE-AFBE-4D36-867E-23FB3D138FD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2026-08-02T10:06:31Z</dcterms:created>
  <dcterms:modified xsi:type="dcterms:W3CDTF">2026-08-02T10:06:31Z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