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MSE 2 CASE STUDY REPORT</w:t>
        <w:br/>
      </w:r>
      <w:r>
        <w:rPr>
          <w:b/>
          <w:sz w:val="36"/>
        </w:rPr>
        <w:t>E-Waste Management, Recycling &amp; Circular Economy</w:t>
      </w:r>
    </w:p>
    <w:p/>
    <w:p>
      <w:pPr>
        <w:jc w:val="center"/>
      </w:pPr>
      <w:r>
        <w:rPr>
          <w:sz w:val="26"/>
        </w:rPr>
        <w:t>Third Year Engineering (TE)</w:t>
        <w:br/>
      </w:r>
      <w:r>
        <w:rPr>
          <w:sz w:val="24"/>
        </w:rPr>
        <w:t>Prepared for MSE 2 Case-Study Preparation</w:t>
      </w:r>
    </w:p>
    <w:p/>
    <w:p>
      <w:pPr>
        <w:jc w:val="center"/>
      </w:pPr>
      <w:r>
        <w:rPr>
          <w:b/>
        </w:rPr>
        <w:t>Case studies covered: 10</w:t>
      </w:r>
    </w:p>
    <w:p>
      <w:r>
        <w:br w:type="page"/>
      </w:r>
    </w:p>
    <w:p>
      <w:pPr>
        <w:pStyle w:val="Heading1"/>
      </w:pPr>
      <w:r>
        <w:t>Case Study List</w:t>
      </w:r>
    </w:p>
    <w:p>
      <w:pPr>
        <w:pStyle w:val="ListNumber"/>
      </w:pPr>
      <w:r>
        <w:t>1. Why Japan Recycles More Than Most Countries: Lessons for India</w:t>
      </w:r>
    </w:p>
    <w:p>
      <w:pPr>
        <w:pStyle w:val="ListNumber"/>
      </w:pPr>
      <w:r>
        <w:t>2. Switzerland's E-Waste Success Story</w:t>
      </w:r>
    </w:p>
    <w:p>
      <w:pPr>
        <w:pStyle w:val="ListNumber"/>
      </w:pPr>
      <w:r>
        <w:t>3. India's E-Waste Management Rules 2022</w:t>
      </w:r>
    </w:p>
    <w:p>
      <w:pPr>
        <w:pStyle w:val="ListNumber"/>
      </w:pPr>
      <w:r>
        <w:t>4. India's Extended Producer Responsibility (EPR): Success or Paper Compliance?</w:t>
      </w:r>
    </w:p>
    <w:p>
      <w:pPr>
        <w:pStyle w:val="ListNumber"/>
      </w:pPr>
      <w:r>
        <w:t>5. Bengaluru—India's E-Waste Capital?</w:t>
      </w:r>
    </w:p>
    <w:p>
      <w:pPr>
        <w:pStyle w:val="ListNumber"/>
      </w:pPr>
      <w:r>
        <w:t>6. Mumbai's E-Waste Ecosystem</w:t>
      </w:r>
    </w:p>
    <w:p>
      <w:pPr>
        <w:pStyle w:val="ListNumber"/>
      </w:pPr>
      <w:r>
        <w:t>7. Kerala's Clean Kerala Company</w:t>
      </w:r>
    </w:p>
    <w:p>
      <w:pPr>
        <w:pStyle w:val="ListNumber"/>
      </w:pPr>
      <w:r>
        <w:t>8. Pune's SWaCH Model</w:t>
      </w:r>
    </w:p>
    <w:p>
      <w:pPr>
        <w:pStyle w:val="ListNumber"/>
      </w:pPr>
      <w:r>
        <w:t>9. Dharavi Recycling Ecosystem</w:t>
      </w:r>
    </w:p>
    <w:p>
      <w:pPr>
        <w:pStyle w:val="ListNumber"/>
      </w:pPr>
      <w:r>
        <w:t>10. Dell's Circular Economy Strategy</w:t>
      </w:r>
    </w:p>
    <w:p/>
    <w:p>
      <w:r>
        <w:t>Formatting note: Every case study follows the same requested sequence: Cover/details page, Executive summary, Background, Strategy/initiative, Impact &amp; results with data table, SWOT analysis, Comparison with India, Recommendations, Conclusion, References, and a final one-page exam revision sheet.</w:t>
      </w:r>
    </w:p>
    <w:p>
      <w:r>
        <w:br w:type="page"/>
      </w:r>
    </w:p>
    <w:p>
      <w:pPr>
        <w:pStyle w:val="Heading1"/>
      </w:pPr>
      <w:r>
        <w:t>1. Why Japan Recycles More Than Most Countries: Lessons for India</w:t>
      </w:r>
    </w:p>
    <w:p>
      <w:pPr>
        <w:pStyle w:val="Heading2"/>
      </w:pPr>
      <w:r>
        <w:t>Cover / Details</w:t>
      </w:r>
    </w:p>
    <w:p>
      <w:r>
        <w:rPr>
          <w:b/>
        </w:rPr>
        <w:t xml:space="preserve">Case-study theme: </w:t>
      </w:r>
      <w:r>
        <w:t>Why Japan Recycles More Than Most Countries: Lessons for India</w:t>
      </w:r>
    </w:p>
    <w:p>
      <w:r>
        <w:rPr>
          <w:b/>
        </w:rPr>
        <w:t xml:space="preserve">Primary focus: </w:t>
      </w:r>
      <w:r>
        <w:t>Waste management, recycling, e-waste governance, circular economy, institutional design and India comparison.</w:t>
      </w:r>
    </w:p>
    <w:p>
      <w:r>
        <w:rPr>
          <w:b/>
        </w:rPr>
        <w:t xml:space="preserve">Use in MSE 2: </w:t>
      </w:r>
      <w:r>
        <w:t>Use the headings and point structure directly for report answers; data points are included for evidence-based answers.</w:t>
      </w:r>
    </w:p>
    <w:p>
      <w:pPr>
        <w:pStyle w:val="Heading2"/>
      </w:pPr>
      <w:r>
        <w:t>Executive Summary</w:t>
      </w:r>
    </w:p>
    <w:p>
      <w:pPr>
        <w:pStyle w:val="ListBullet"/>
        <w:spacing w:after="80"/>
      </w:pPr>
      <w:r>
        <w:t>Japan's waste-management model is built around reduction, reuse and recycling, with responsibilities distributed among citizens, municipalities and businesses. Its policy architecture treats waste separation as a routine civic activity rather than only as a downstream treatment problem. The important lesson for India is that collection, segregation and producer responsibility have to work together.</w:t>
      </w:r>
    </w:p>
    <w:p>
      <w:pPr>
        <w:pStyle w:val="ListBullet"/>
        <w:spacing w:after="80"/>
      </w:pPr>
      <w:r>
        <w:t>Japan's Container and Packaging Recycling Law assigns complementary roles: consumers separate waste, municipalities collect it, and businesses undertake or finance recycling. This creates a chain in which the quality of recycling begins at the point of disposal. The model also allows municipalities to adapt detailed sorting rules to local conditions.</w:t>
      </w:r>
    </w:p>
    <w:p>
      <w:pPr>
        <w:pStyle w:val="ListBullet"/>
        <w:spacing w:after="80"/>
      </w:pPr>
      <w:r>
        <w:t>Japan's current municipal data show that its strength is not simply a very high headline recycling percentage: in FY2024, the recycling rate was 19.3%, while the waste reduction rate was 99.2%. This demonstrates the importance of measuring waste prevention, thermal treatment and landfill reduction alongside material recycling. For India, the broader lesson is to avoid treating a single recycling percentage as the only measure of system performance.</w:t>
      </w:r>
    </w:p>
    <w:p>
      <w:pPr>
        <w:pStyle w:val="Heading2"/>
      </w:pPr>
      <w:r>
        <w:t>Background</w:t>
      </w:r>
    </w:p>
    <w:p>
      <w:pPr>
        <w:pStyle w:val="ListBullet"/>
        <w:spacing w:after="80"/>
      </w:pPr>
      <w:r>
        <w:t>Japan faced pressure from increasing waste volumes and limited landfill capacity, which encouraged the development of a recycling-oriented policy system. The Basic Law for Establishing a Recycling-based Society clarified roles for the state, local governments, businesses and the public. Separate laws then addressed specific streams such as packaging and electrical appliances.</w:t>
      </w:r>
    </w:p>
    <w:p>
      <w:pPr>
        <w:pStyle w:val="ListBullet"/>
        <w:spacing w:after="80"/>
      </w:pPr>
      <w:r>
        <w:t>Under the packaging system, consumers separate recyclable packaging and municipalities collect it according to local rules. Businesses participate in recycling, creating a shared responsibility rather than leaving the entire burden with municipal bodies. This institutional division is one reason Japan is frequently studied in waste-management comparisons.</w:t>
      </w:r>
    </w:p>
    <w:p>
      <w:pPr>
        <w:pStyle w:val="ListBullet"/>
        <w:spacing w:after="80"/>
      </w:pPr>
      <w:r>
        <w:t>Japanese municipal sorting rules are not completely uniform nationwide because municipalities establish detailed collection and disposal rules. This is important for India because local conditions, housing patterns and waste composition differ substantially between cities. A national framework can therefore be combined with city-level operating rules.</w:t>
      </w:r>
    </w:p>
    <w:p>
      <w:pPr>
        <w:pStyle w:val="Heading2"/>
      </w:pPr>
      <w:r>
        <w:t>Strategy / Initiative</w:t>
      </w:r>
    </w:p>
    <w:p>
      <w:pPr>
        <w:pStyle w:val="ListBullet"/>
        <w:spacing w:after="80"/>
      </w:pPr>
      <w:r>
        <w:t>The first strategy is source segregation, where households separate recyclable categories before collection. The system depends on citizens understanding what belongs in each stream and presenting it according to municipal schedules. Better input quality makes subsequent sorting and recycling more efficient.</w:t>
      </w:r>
    </w:p>
    <w:p>
      <w:pPr>
        <w:pStyle w:val="ListBullet"/>
        <w:spacing w:after="80"/>
      </w:pPr>
      <w:r>
        <w:t>The second strategy is shared responsibility across consumers, municipalities and businesses. The packaging law explicitly links consumer separation, municipal collection and business recycling responsibilities. This creates an institutional chain rather than relying on municipal collection alone.</w:t>
      </w:r>
    </w:p>
    <w:p>
      <w:pPr>
        <w:pStyle w:val="ListBullet"/>
        <w:spacing w:after="80"/>
      </w:pPr>
      <w:r>
        <w:t>The third strategy is a wider 3R approach that emphasizes reduction and reuse before recycling. Japan's current data show that waste prevention and reduction remain major components of performance, with 99.2% waste reduction and only 0.8% landfill without intermediate treatment in FY2024. India can therefore adapt the hierarchy rather than copying only the visible sorting practices.</w:t>
      </w:r>
    </w:p>
    <w:p>
      <w:pPr>
        <w:pStyle w:val="Heading2"/>
      </w:pPr>
      <w:r>
        <w:t>Impact &amp; Results</w:t>
      </w:r>
    </w:p>
    <w:p>
      <w:pPr>
        <w:pStyle w:val="ListBullet"/>
        <w:spacing w:after="80"/>
      </w:pPr>
      <w:r>
        <w:t>Japan's Ministry of the Environment reported 38.11 million tonnes of municipal waste in FY2024, down 2.2% from FY2023. Per-capita generation was 839 grams per person per day, down 1.5%. These figures indicate continuing pressure to reduce waste generation at source.</w:t>
      </w:r>
    </w:p>
    <w:p>
      <w:pPr>
        <w:pStyle w:val="ListBullet"/>
        <w:spacing w:after="80"/>
      </w:pPr>
      <w:r>
        <w:t>Total recycled waste in FY2024 was 7.38 million tonnes and the recycling rate was 19.3%. The same year, landfill waste was 3.06 million tonnes and the waste reduction rate was 99.2%. The data show that Japan's system combines recycling with extensive intermediate treatment and strong landfill reduction.</w:t>
      </w:r>
    </w:p>
    <w:p>
      <w:pPr>
        <w:pStyle w:val="ListBullet"/>
        <w:spacing w:after="80"/>
      </w:pPr>
      <w:r>
        <w:t>Japan had 991 municipal waste incineration plants as of March 31, 2025, and 41.9% had power-generation facilities. This shows that the Japanese system includes energy recovery and engineered treatment rather than relying exclusively on material recycling. For India, this suggests that different waste streams require different treatment technologies.</w:t>
      </w:r>
    </w:p>
    <w:p>
      <w:pPr>
        <w:pStyle w:val="Heading3"/>
      </w:pPr>
      <w:r>
        <w:t>Data Table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Indicator</w:t>
            </w:r>
          </w:p>
        </w:tc>
        <w:tc>
          <w:tcPr>
            <w:tcW w:type="dxa" w:w="5040"/>
            <w:vAlign w:val="center"/>
            <w:shd w:fill="D9EAF7"/>
          </w:tcPr>
          <w:p>
            <w:r/>
            <w:r>
              <w:rPr>
                <w:b/>
                <w:sz w:val="18"/>
              </w:rPr>
              <w:t>Case-study evidence / data</w:t>
            </w:r>
          </w:p>
        </w:tc>
      </w:tr>
      <w:tr>
        <w:tc>
          <w:tcPr>
            <w:tcW w:type="dxa" w:w="5040"/>
            <w:vAlign w:val="center"/>
          </w:tcPr>
          <w:p>
            <w:r/>
            <w:r>
              <w:rPr>
                <w:b w:val="0"/>
                <w:sz w:val="18"/>
              </w:rPr>
              <w:t>Municipal waste generation, FY2024</w:t>
            </w:r>
          </w:p>
        </w:tc>
        <w:tc>
          <w:tcPr>
            <w:tcW w:type="dxa" w:w="5040"/>
            <w:vAlign w:val="center"/>
          </w:tcPr>
          <w:p>
            <w:r/>
            <w:r>
              <w:rPr>
                <w:b w:val="0"/>
                <w:sz w:val="18"/>
              </w:rPr>
              <w:t>38.11 million tonnes</w:t>
            </w:r>
          </w:p>
        </w:tc>
      </w:tr>
      <w:tr>
        <w:tc>
          <w:tcPr>
            <w:tcW w:type="dxa" w:w="5040"/>
            <w:vAlign w:val="center"/>
          </w:tcPr>
          <w:p>
            <w:r/>
            <w:r>
              <w:rPr>
                <w:b w:val="0"/>
                <w:sz w:val="18"/>
              </w:rPr>
              <w:t>Per-capita waste generation, FY2024</w:t>
            </w:r>
          </w:p>
        </w:tc>
        <w:tc>
          <w:tcPr>
            <w:tcW w:type="dxa" w:w="5040"/>
            <w:vAlign w:val="center"/>
          </w:tcPr>
          <w:p>
            <w:r/>
            <w:r>
              <w:rPr>
                <w:b w:val="0"/>
                <w:sz w:val="18"/>
              </w:rPr>
              <w:t>839 g/person/day</w:t>
            </w:r>
          </w:p>
        </w:tc>
      </w:tr>
      <w:tr>
        <w:tc>
          <w:tcPr>
            <w:tcW w:type="dxa" w:w="5040"/>
            <w:vAlign w:val="center"/>
          </w:tcPr>
          <w:p>
            <w:r/>
            <w:r>
              <w:rPr>
                <w:b w:val="0"/>
                <w:sz w:val="18"/>
              </w:rPr>
              <w:t>Recycling rate, FY2024</w:t>
            </w:r>
          </w:p>
        </w:tc>
        <w:tc>
          <w:tcPr>
            <w:tcW w:type="dxa" w:w="5040"/>
            <w:vAlign w:val="center"/>
          </w:tcPr>
          <w:p>
            <w:r/>
            <w:r>
              <w:rPr>
                <w:b w:val="0"/>
                <w:sz w:val="18"/>
              </w:rPr>
              <w:t>19.3%</w:t>
            </w:r>
          </w:p>
        </w:tc>
      </w:tr>
      <w:tr>
        <w:tc>
          <w:tcPr>
            <w:tcW w:type="dxa" w:w="5040"/>
            <w:vAlign w:val="center"/>
          </w:tcPr>
          <w:p>
            <w:r/>
            <w:r>
              <w:rPr>
                <w:b w:val="0"/>
                <w:sz w:val="18"/>
              </w:rPr>
              <w:t>Waste reduction rate, FY2024</w:t>
            </w:r>
          </w:p>
        </w:tc>
        <w:tc>
          <w:tcPr>
            <w:tcW w:type="dxa" w:w="5040"/>
            <w:vAlign w:val="center"/>
          </w:tcPr>
          <w:p>
            <w:r/>
            <w:r>
              <w:rPr>
                <w:b w:val="0"/>
                <w:sz w:val="18"/>
              </w:rPr>
              <w:t>99.2%</w:t>
            </w:r>
          </w:p>
        </w:tc>
      </w:tr>
      <w:tr>
        <w:tc>
          <w:tcPr>
            <w:tcW w:type="dxa" w:w="5040"/>
            <w:vAlign w:val="center"/>
          </w:tcPr>
          <w:p>
            <w:r/>
            <w:r>
              <w:rPr>
                <w:b w:val="0"/>
                <w:sz w:val="18"/>
              </w:rPr>
              <w:t>Landfill waste, FY2024</w:t>
            </w:r>
          </w:p>
        </w:tc>
        <w:tc>
          <w:tcPr>
            <w:tcW w:type="dxa" w:w="5040"/>
            <w:vAlign w:val="center"/>
          </w:tcPr>
          <w:p>
            <w:r/>
            <w:r>
              <w:rPr>
                <w:b w:val="0"/>
                <w:sz w:val="18"/>
              </w:rPr>
              <w:t>3.06 million tonnes</w:t>
            </w:r>
          </w:p>
        </w:tc>
      </w:tr>
      <w:tr>
        <w:tc>
          <w:tcPr>
            <w:tcW w:type="dxa" w:w="5040"/>
            <w:vAlign w:val="center"/>
          </w:tcPr>
          <w:p>
            <w:r/>
            <w:r>
              <w:rPr>
                <w:b w:val="0"/>
                <w:sz w:val="18"/>
              </w:rPr>
              <w:t>Incineration plants with power generation</w:t>
            </w:r>
          </w:p>
        </w:tc>
        <w:tc>
          <w:tcPr>
            <w:tcW w:type="dxa" w:w="5040"/>
            <w:vAlign w:val="center"/>
          </w:tcPr>
          <w:p>
            <w:r/>
            <w:r>
              <w:rPr>
                <w:b w:val="0"/>
                <w:sz w:val="18"/>
              </w:rPr>
              <w:t>41.9%</w:t>
            </w:r>
          </w:p>
        </w:tc>
      </w:tr>
    </w:tbl>
    <w:p/>
    <w:p>
      <w:pPr>
        <w:pStyle w:val="Heading2"/>
      </w:pPr>
      <w:r>
        <w:t>SWOT Analysis</w:t>
      </w:r>
    </w:p>
    <w:p>
      <w:pPr>
        <w:pStyle w:val="ListBullet"/>
        <w:spacing w:after="80"/>
      </w:pPr>
      <w:r>
        <w:t>Strength: The model assigns explicit responsibilities to consumers, municipalities and businesses, reducing ambiguity in the recycling chain. This institutional structure supports consistent source separation.</w:t>
      </w:r>
    </w:p>
    <w:p>
      <w:pPr>
        <w:pStyle w:val="ListBullet"/>
        <w:spacing w:after="80"/>
      </w:pPr>
      <w:r>
        <w:t>Strength: Local governments can tailor detailed separation rules to local waste conditions. This makes implementation more adaptable than a single national sorting list.</w:t>
      </w:r>
    </w:p>
    <w:p>
      <w:pPr>
        <w:pStyle w:val="ListBullet"/>
        <w:spacing w:after="80"/>
      </w:pPr>
      <w:r>
        <w:t>Weakness: The system requires sustained citizen participation and compliance with detailed sorting instructions. Such a requirement can be difficult to reproduce in rapidly growing cities without continuous awareness work.</w:t>
      </w:r>
    </w:p>
    <w:p>
      <w:pPr>
        <w:pStyle w:val="ListBullet"/>
        <w:spacing w:after="80"/>
      </w:pPr>
      <w:r>
        <w:t>Opportunity: India can combine Japanese-style source segregation with its existing EPR framework and municipal waste-picker networks. This could improve the quality of material entering formal recycling facilities.</w:t>
      </w:r>
    </w:p>
    <w:p>
      <w:pPr>
        <w:pStyle w:val="ListBullet"/>
        <w:spacing w:after="80"/>
      </w:pPr>
      <w:r>
        <w:t>Threat: Rising consumption can increase waste even when recycling systems improve. Treatment and infrastructure costs can also rise when waste streams become more complex.</w:t>
      </w:r>
    </w:p>
    <w:p>
      <w:pPr>
        <w:pStyle w:val="Heading2"/>
      </w:pPr>
      <w:r>
        <w:t>Comparison with India</w:t>
      </w:r>
    </w:p>
    <w:p>
      <w:pPr>
        <w:pStyle w:val="ListBullet"/>
        <w:spacing w:after="80"/>
      </w:pPr>
      <w:r>
        <w:t>India already has national waste and EPR regulations, but implementation varies significantly between cities and states. Japan demonstrates the value of connecting national principles with detailed local collection rules. India's existing municipal and informal collection networks could provide the operational layer.</w:t>
      </w:r>
    </w:p>
    <w:p>
      <w:pPr>
        <w:pStyle w:val="ListBullet"/>
        <w:spacing w:after="80"/>
      </w:pPr>
      <w:r>
        <w:t>Japan's packaging framework clearly connects household separation, municipal collection and business recycling. India's system can strengthen the same chain by assigning measurable responsibilities to producers, urban local bodies and collection partners. The objective should be traceable movement of material from source to authorized processing.</w:t>
      </w:r>
    </w:p>
    <w:p>
      <w:pPr>
        <w:pStyle w:val="ListBullet"/>
        <w:spacing w:after="80"/>
      </w:pPr>
      <w:r>
        <w:t>Japan also demonstrates the importance of measuring waste prevention and landfill reduction, not only recycling. Indian city dashboards can therefore report segregation, reuse, recycling, recovery, rejects and landfill quantities together. This would make comparisons more meaningful.</w:t>
      </w:r>
    </w:p>
    <w:p>
      <w:pPr>
        <w:pStyle w:val="Heading2"/>
      </w:pPr>
      <w:r>
        <w:t>Recommendations</w:t>
      </w:r>
    </w:p>
    <w:p>
      <w:pPr>
        <w:pStyle w:val="ListBullet"/>
        <w:spacing w:after="80"/>
      </w:pPr>
      <w:r>
        <w:t>Indian cities should introduce simple, standardized household sorting categories while allowing municipalities to publish locally adapted schedules. The instructions should be visual, multilingual and linked to collection calendars. Compliance can be monitored through ward-level contamination and participation indicators.</w:t>
      </w:r>
    </w:p>
    <w:p>
      <w:pPr>
        <w:pStyle w:val="ListBullet"/>
        <w:spacing w:after="80"/>
      </w:pPr>
      <w:r>
        <w:t>Urban local bodies should integrate registered waste pickers and authorized recyclers into a traceable material-flow system. Digital weighing at collection and recovery points can generate auditable data. Producer responsibility funding can support collection and sorting infrastructure.</w:t>
      </w:r>
    </w:p>
    <w:p>
      <w:pPr>
        <w:pStyle w:val="ListBullet"/>
        <w:spacing w:after="80"/>
      </w:pPr>
      <w:r>
        <w:t>Performance dashboards should track waste generation, segregation, recovery, recycling, rejects and landfill diversion. This prevents a city from appearing successful merely because waste is transferred away from visible collection points. Public reporting should use consistent definitions.</w:t>
      </w:r>
    </w:p>
    <w:p>
      <w:pPr>
        <w:pStyle w:val="Heading2"/>
      </w:pPr>
      <w:r>
        <w:t>Conclusion</w:t>
      </w:r>
    </w:p>
    <w:p>
      <w:pPr>
        <w:pStyle w:val="ListBullet"/>
        <w:spacing w:after="80"/>
      </w:pPr>
      <w:r>
        <w:t>Japan's experience shows that recycling performance is a system outcome created by policy, citizen behavior, local government and business responsibility. Its current data also show that waste reduction and treatment are as important as material recycling. India can adapt these principles without attempting to copy Japan's institutions exactly.</w:t>
      </w:r>
    </w:p>
    <w:p>
      <w:pPr>
        <w:pStyle w:val="ListBullet"/>
        <w:spacing w:after="80"/>
      </w:pPr>
      <w:r>
        <w:t>Japan's strongest transferable lesson is the integration of source separation with clear institutional roles. The approach works because the downstream recycling industry receives a more usable material stream. India can strengthen its own systems by making these links explicit.</w:t>
      </w:r>
    </w:p>
    <w:p>
      <w:pPr>
        <w:pStyle w:val="ListBullet"/>
        <w:spacing w:after="80"/>
      </w:pPr>
      <w:r>
        <w:t>For an Indian context, the case should therefore be understood as a governance and system-design lesson. The most useful adaptation is a measurable chain from household separation to final authorized processing. This can coexist with India's existing EPR and waste-picker systems.</w:t>
      </w:r>
    </w:p>
    <w:p>
      <w:pPr>
        <w:pStyle w:val="Heading2"/>
      </w:pPr>
      <w:r>
        <w:t>References</w:t>
      </w:r>
    </w:p>
    <w:p>
      <w:pPr>
        <w:pStyle w:val="ListBullet"/>
      </w:pPr>
      <w:r>
        <w:rPr>
          <w:b/>
        </w:rPr>
        <w:t xml:space="preserve">Japan Ministry of the Environment — Municipal solid waste generation and disposal in FY2024 — </w:t>
      </w:r>
      <w:r>
        <w:t>https://www.env.go.jp/en/press/press_01569.html</w:t>
      </w:r>
    </w:p>
    <w:p>
      <w:pPr>
        <w:pStyle w:val="ListBullet"/>
      </w:pPr>
      <w:r>
        <w:rPr>
          <w:b/>
        </w:rPr>
        <w:t xml:space="preserve">Japan Ministry of the Environment — Container and Packaging Recycling Law — </w:t>
      </w:r>
      <w:r>
        <w:t>https://www.env.go.jp/recycle/yoki/a_1_recycle/recycle_03.html</w:t>
      </w:r>
    </w:p>
    <w:p>
      <w:pPr>
        <w:pStyle w:val="ListBullet"/>
      </w:pPr>
      <w:r>
        <w:rPr>
          <w:b/>
        </w:rPr>
        <w:t xml:space="preserve">Japan Ministry of the Environment — Basic Law for Establishing the Recycling-based Society — </w:t>
      </w:r>
      <w:r>
        <w:t>https://www.env.go.jp/recycle/low-e.html</w:t>
      </w:r>
    </w:p>
    <w:p>
      <w:r>
        <w:br w:type="page"/>
      </w:r>
    </w:p>
    <w:p>
      <w:pPr>
        <w:pStyle w:val="Heading1"/>
      </w:pPr>
      <w:r>
        <w:t>2. Switzerland's E-Waste Success Story</w:t>
      </w:r>
    </w:p>
    <w:p>
      <w:pPr>
        <w:pStyle w:val="Heading2"/>
      </w:pPr>
      <w:r>
        <w:t>Cover / Details</w:t>
      </w:r>
    </w:p>
    <w:p>
      <w:r>
        <w:rPr>
          <w:b/>
        </w:rPr>
        <w:t xml:space="preserve">Case-study theme: </w:t>
      </w:r>
      <w:r>
        <w:t>Switzerland's E-Waste Success Story</w:t>
      </w:r>
    </w:p>
    <w:p>
      <w:r>
        <w:rPr>
          <w:b/>
        </w:rPr>
        <w:t xml:space="preserve">Primary focus: </w:t>
      </w:r>
      <w:r>
        <w:t>Waste management, recycling, e-waste governance, circular economy, institutional design and India comparison.</w:t>
      </w:r>
    </w:p>
    <w:p>
      <w:r>
        <w:rPr>
          <w:b/>
        </w:rPr>
        <w:t xml:space="preserve">Use in MSE 2: </w:t>
      </w:r>
      <w:r>
        <w:t>Use the headings and point structure directly for report answers; data points are included for evidence-based answers.</w:t>
      </w:r>
    </w:p>
    <w:p>
      <w:pPr>
        <w:pStyle w:val="Heading2"/>
      </w:pPr>
      <w:r>
        <w:t>Executive Summary</w:t>
      </w:r>
    </w:p>
    <w:p>
      <w:pPr>
        <w:pStyle w:val="ListBullet"/>
        <w:spacing w:after="80"/>
      </w:pPr>
      <w:r>
        <w:t>Switzerland's e-waste system combines producer and importer responsibility, convenient take-back and advance recycling contributions. Consumers can generally return covered equipment without paying a separate disposal charge at the point of return. The system is organized through specialized take-back organizations such as SENS eRecycling and Swico Recycling.</w:t>
      </w:r>
    </w:p>
    <w:p>
      <w:pPr>
        <w:pStyle w:val="ListBullet"/>
        <w:spacing w:after="80"/>
      </w:pPr>
      <w:r>
        <w:t>The advance recycling contribution is collected when equipment is purchased and finances collection, logistics and recycling. This makes disposal a pre-funded service rather than a cost that consumers face only when they discard a device. The model also creates a financial connection between product sales and end-of-life management.</w:t>
      </w:r>
    </w:p>
    <w:p>
      <w:pPr>
        <w:pStyle w:val="ListBullet"/>
        <w:spacing w:after="80"/>
      </w:pPr>
      <w:r>
        <w:t>SENS reported 100,762 tonnes in its 2024 take-back system, equivalent to 11.14 kg per resident, and reported a 97% collection rate for large household appliances. The figures vary by product category, so the system should not be reduced to a single universal percentage. Its main lesson is the combination of financing, convenience, traceability and specialized recycling.</w:t>
      </w:r>
    </w:p>
    <w:p>
      <w:pPr>
        <w:pStyle w:val="Heading2"/>
      </w:pPr>
      <w:r>
        <w:t>Background</w:t>
      </w:r>
    </w:p>
    <w:p>
      <w:pPr>
        <w:pStyle w:val="ListBullet"/>
        <w:spacing w:after="80"/>
      </w:pPr>
      <w:r>
        <w:t>Switzerland developed organized electronics take-back systems through sectoral organizations and producer participation. Swico covers ICT and consumer-electronics streams, while SENS handles household appliances and another organization handles lighting. This division allows different product types to receive appropriate treatment.</w:t>
      </w:r>
    </w:p>
    <w:p>
      <w:pPr>
        <w:pStyle w:val="ListBullet"/>
        <w:spacing w:after="80"/>
      </w:pPr>
      <w:r>
        <w:t>The advance recycling contribution is embedded in the purchase price and supports collection and recycling. Swico describes the system as voluntary in its convention structure, while legal take-back obligations also apply to manufacturers and importers. This combination illustrates how industry-led systems can operate within a regulatory framework.</w:t>
      </w:r>
    </w:p>
    <w:p>
      <w:pPr>
        <w:pStyle w:val="ListBullet"/>
        <w:spacing w:after="80"/>
      </w:pPr>
      <w:r>
        <w:t>The system is supported by a dense network of collection points, retailers and recycling partners. SENS reported 442 official collection points in 2024, while Swico reports more than 500 convention signatories covering over 90% of the Swiss market. Convenience reduces the friction of responsible disposal.</w:t>
      </w:r>
    </w:p>
    <w:p>
      <w:pPr>
        <w:pStyle w:val="Heading2"/>
      </w:pPr>
      <w:r>
        <w:t>Strategy / Initiative</w:t>
      </w:r>
    </w:p>
    <w:p>
      <w:pPr>
        <w:pStyle w:val="ListBullet"/>
        <w:spacing w:after="80"/>
      </w:pPr>
      <w:r>
        <w:t>First, the system uses advance financing through an advance recycling contribution. Consumers pay into the system at purchase rather than at disposal, which removes a direct price barrier when a product reaches end of life. The money supports collection, transport and recycling.</w:t>
      </w:r>
    </w:p>
    <w:p>
      <w:pPr>
        <w:pStyle w:val="ListBullet"/>
        <w:spacing w:after="80"/>
      </w:pPr>
      <w:r>
        <w:t>Second, Switzerland uses broad take-back access through retailers and collection points. SENS states that appliances can be returned free of charge to sales outlets and collection points. This makes the correct disposal channel easier to use than informal disposal.</w:t>
      </w:r>
    </w:p>
    <w:p>
      <w:pPr>
        <w:pStyle w:val="ListBullet"/>
        <w:spacing w:after="80"/>
      </w:pPr>
      <w:r>
        <w:t>Third, the system uses specialized processing and monitoring. Swico recycling partners dismantle equipment, remove hazardous components and recover recyclable materials. Data protection is also addressed because discarded electronics may contain personal information.</w:t>
      </w:r>
    </w:p>
    <w:p>
      <w:pPr>
        <w:pStyle w:val="Heading2"/>
      </w:pPr>
      <w:r>
        <w:t>Impact &amp; Results</w:t>
      </w:r>
    </w:p>
    <w:p>
      <w:pPr>
        <w:pStyle w:val="ListBullet"/>
        <w:spacing w:after="80"/>
      </w:pPr>
      <w:r>
        <w:t>SENS reported 100,762 tonnes of electrical and electronic equipment in its 2024 system. The same report gives an average of 11.14 kg per Swiss resident. This provides a concrete scale indicator for the take-back network.</w:t>
      </w:r>
    </w:p>
    <w:p>
      <w:pPr>
        <w:pStyle w:val="ListBullet"/>
        <w:spacing w:after="80"/>
      </w:pPr>
      <w:r>
        <w:t>For large household appliances, the 2024 collection rate was 97%, compared with 51% for small household appliances in the SENS categories. This demonstrates why product-specific indicators are important. A single national number can hide differences in consumer behavior and product lifecycles.</w:t>
      </w:r>
    </w:p>
    <w:p>
      <w:pPr>
        <w:pStyle w:val="ListBullet"/>
        <w:spacing w:after="80"/>
      </w:pPr>
      <w:r>
        <w:t>SENS reported 1,469 manufacturers and importers subject to its advance-recycling system in 2024 and 442 official collection points. Swico states that more than 500 convention signatories cover over 90% of the Swiss market. Together, these figures indicate broad institutional participation.</w:t>
      </w:r>
    </w:p>
    <w:p>
      <w:pPr>
        <w:pStyle w:val="Heading3"/>
      </w:pPr>
      <w:r>
        <w:t>Data Table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Indicator</w:t>
            </w:r>
          </w:p>
        </w:tc>
        <w:tc>
          <w:tcPr>
            <w:tcW w:type="dxa" w:w="5040"/>
            <w:vAlign w:val="center"/>
            <w:shd w:fill="D9EAF7"/>
          </w:tcPr>
          <w:p>
            <w:r/>
            <w:r>
              <w:rPr>
                <w:b/>
                <w:sz w:val="18"/>
              </w:rPr>
              <w:t>Case-study evidence / data</w:t>
            </w:r>
          </w:p>
        </w:tc>
      </w:tr>
      <w:tr>
        <w:tc>
          <w:tcPr>
            <w:tcW w:type="dxa" w:w="5040"/>
            <w:vAlign w:val="center"/>
          </w:tcPr>
          <w:p>
            <w:r/>
            <w:r>
              <w:rPr>
                <w:b w:val="0"/>
                <w:sz w:val="18"/>
              </w:rPr>
              <w:t>SENS system volume, 2024</w:t>
            </w:r>
          </w:p>
        </w:tc>
        <w:tc>
          <w:tcPr>
            <w:tcW w:type="dxa" w:w="5040"/>
            <w:vAlign w:val="center"/>
          </w:tcPr>
          <w:p>
            <w:r/>
            <w:r>
              <w:rPr>
                <w:b w:val="0"/>
                <w:sz w:val="18"/>
              </w:rPr>
              <w:t>100,762 tonnes</w:t>
            </w:r>
          </w:p>
        </w:tc>
      </w:tr>
      <w:tr>
        <w:tc>
          <w:tcPr>
            <w:tcW w:type="dxa" w:w="5040"/>
            <w:vAlign w:val="center"/>
          </w:tcPr>
          <w:p>
            <w:r/>
            <w:r>
              <w:rPr>
                <w:b w:val="0"/>
                <w:sz w:val="18"/>
              </w:rPr>
              <w:t>SENS e-waste per resident, 2024</w:t>
            </w:r>
          </w:p>
        </w:tc>
        <w:tc>
          <w:tcPr>
            <w:tcW w:type="dxa" w:w="5040"/>
            <w:vAlign w:val="center"/>
          </w:tcPr>
          <w:p>
            <w:r/>
            <w:r>
              <w:rPr>
                <w:b w:val="0"/>
                <w:sz w:val="18"/>
              </w:rPr>
              <w:t>11.14 kg/person</w:t>
            </w:r>
          </w:p>
        </w:tc>
      </w:tr>
      <w:tr>
        <w:tc>
          <w:tcPr>
            <w:tcW w:type="dxa" w:w="5040"/>
            <w:vAlign w:val="center"/>
          </w:tcPr>
          <w:p>
            <w:r/>
            <w:r>
              <w:rPr>
                <w:b w:val="0"/>
                <w:sz w:val="18"/>
              </w:rPr>
              <w:t>Large household appliance collection rate, 2024</w:t>
            </w:r>
          </w:p>
        </w:tc>
        <w:tc>
          <w:tcPr>
            <w:tcW w:type="dxa" w:w="5040"/>
            <w:vAlign w:val="center"/>
          </w:tcPr>
          <w:p>
            <w:r/>
            <w:r>
              <w:rPr>
                <w:b w:val="0"/>
                <w:sz w:val="18"/>
              </w:rPr>
              <w:t>97%</w:t>
            </w:r>
          </w:p>
        </w:tc>
      </w:tr>
      <w:tr>
        <w:tc>
          <w:tcPr>
            <w:tcW w:type="dxa" w:w="5040"/>
            <w:vAlign w:val="center"/>
          </w:tcPr>
          <w:p>
            <w:r/>
            <w:r>
              <w:rPr>
                <w:b w:val="0"/>
                <w:sz w:val="18"/>
              </w:rPr>
              <w:t>Small household appliance collection rate, 2024</w:t>
            </w:r>
          </w:p>
        </w:tc>
        <w:tc>
          <w:tcPr>
            <w:tcW w:type="dxa" w:w="5040"/>
            <w:vAlign w:val="center"/>
          </w:tcPr>
          <w:p>
            <w:r/>
            <w:r>
              <w:rPr>
                <w:b w:val="0"/>
                <w:sz w:val="18"/>
              </w:rPr>
              <w:t>51%</w:t>
            </w:r>
          </w:p>
        </w:tc>
      </w:tr>
      <w:tr>
        <w:tc>
          <w:tcPr>
            <w:tcW w:type="dxa" w:w="5040"/>
            <w:vAlign w:val="center"/>
          </w:tcPr>
          <w:p>
            <w:r/>
            <w:r>
              <w:rPr>
                <w:b w:val="0"/>
                <w:sz w:val="18"/>
              </w:rPr>
              <w:t>SENS manufacturers/importers subject to ARCs, 2024</w:t>
            </w:r>
          </w:p>
        </w:tc>
        <w:tc>
          <w:tcPr>
            <w:tcW w:type="dxa" w:w="5040"/>
            <w:vAlign w:val="center"/>
          </w:tcPr>
          <w:p>
            <w:r/>
            <w:r>
              <w:rPr>
                <w:b w:val="0"/>
                <w:sz w:val="18"/>
              </w:rPr>
              <w:t>1,469</w:t>
            </w:r>
          </w:p>
        </w:tc>
      </w:tr>
      <w:tr>
        <w:tc>
          <w:tcPr>
            <w:tcW w:type="dxa" w:w="5040"/>
            <w:vAlign w:val="center"/>
          </w:tcPr>
          <w:p>
            <w:r/>
            <w:r>
              <w:rPr>
                <w:b w:val="0"/>
                <w:sz w:val="18"/>
              </w:rPr>
              <w:t>SENS official collection points, 2024</w:t>
            </w:r>
          </w:p>
        </w:tc>
        <w:tc>
          <w:tcPr>
            <w:tcW w:type="dxa" w:w="5040"/>
            <w:vAlign w:val="center"/>
          </w:tcPr>
          <w:p>
            <w:r/>
            <w:r>
              <w:rPr>
                <w:b w:val="0"/>
                <w:sz w:val="18"/>
              </w:rPr>
              <w:t>442</w:t>
            </w:r>
          </w:p>
        </w:tc>
      </w:tr>
    </w:tbl>
    <w:p/>
    <w:p>
      <w:pPr>
        <w:pStyle w:val="Heading2"/>
      </w:pPr>
      <w:r>
        <w:t>SWOT Analysis</w:t>
      </w:r>
    </w:p>
    <w:p>
      <w:pPr>
        <w:pStyle w:val="ListBullet"/>
        <w:spacing w:after="80"/>
      </w:pPr>
      <w:r>
        <w:t>Strength: Advance financing makes collection and recycling available without a new disposal payment at the end of product life. This directly supports convenient consumer participation.</w:t>
      </w:r>
    </w:p>
    <w:p>
      <w:pPr>
        <w:pStyle w:val="ListBullet"/>
        <w:spacing w:after="80"/>
      </w:pPr>
      <w:r>
        <w:t>Strength: The system uses specialized organizations and a dense take-back network. Product categories can therefore be handled according to their technical and hazardous-material characteristics.</w:t>
      </w:r>
    </w:p>
    <w:p>
      <w:pPr>
        <w:pStyle w:val="ListBullet"/>
        <w:spacing w:after="80"/>
      </w:pPr>
      <w:r>
        <w:t>Weakness: Collection performance differs substantially by product category. Smaller devices can remain harder to capture even in a mature system.</w:t>
      </w:r>
    </w:p>
    <w:p>
      <w:pPr>
        <w:pStyle w:val="ListBullet"/>
        <w:spacing w:after="80"/>
      </w:pPr>
      <w:r>
        <w:t>Opportunity: The financing mechanism provides a reference for strengthening India's EPR financial flows. Similar principles can be adapted to fund collection and recycling without depending entirely on municipal budgets.</w:t>
      </w:r>
    </w:p>
    <w:p>
      <w:pPr>
        <w:pStyle w:val="ListBullet"/>
        <w:spacing w:after="80"/>
      </w:pPr>
      <w:r>
        <w:t>Threat: Rising processing, labor and logistics costs can increase the contribution required to keep the system financially balanced. Changes in product composition, especially complex plastics and batteries, can also raise treatment costs.</w:t>
      </w:r>
    </w:p>
    <w:p>
      <w:pPr>
        <w:pStyle w:val="Heading2"/>
      </w:pPr>
      <w:r>
        <w:t>Comparison with India</w:t>
      </w:r>
    </w:p>
    <w:p>
      <w:pPr>
        <w:pStyle w:val="ListBullet"/>
        <w:spacing w:after="80"/>
      </w:pPr>
      <w:r>
        <w:t>India's E-Waste Management Rules 2022 already use EPR certificates and registered recyclers, so the regulatory principle is compatible with Switzerland's producer-responsibility approach. The major adaptation is to make collection more convenient and visibly financed. India's large informal collection network can be connected to authorized recyclers rather than excluded.</w:t>
      </w:r>
    </w:p>
    <w:p>
      <w:pPr>
        <w:pStyle w:val="ListBullet"/>
        <w:spacing w:after="80"/>
      </w:pPr>
      <w:r>
        <w:t>Switzerland shows the value of take-back points that consumers can use without negotiating with scrap dealers. India can expand retailer take-back and neighborhood collection points, particularly for small electronics. Digital receipts can provide evidence of handover and protect data-security concerns.</w:t>
      </w:r>
    </w:p>
    <w:p>
      <w:pPr>
        <w:pStyle w:val="ListBullet"/>
        <w:spacing w:after="80"/>
      </w:pPr>
      <w:r>
        <w:t>India's EPR system currently measures obligations through an online portal. Switzerland adds a long-established physical collection network to its financial mechanism. Combining digital compliance with strong physical access is a useful comparison.</w:t>
      </w:r>
    </w:p>
    <w:p>
      <w:pPr>
        <w:pStyle w:val="Heading2"/>
      </w:pPr>
      <w:r>
        <w:t>Recommendations</w:t>
      </w:r>
    </w:p>
    <w:p>
      <w:pPr>
        <w:pStyle w:val="ListBullet"/>
        <w:spacing w:after="80"/>
      </w:pPr>
      <w:r>
        <w:t>India should expand retailer and manufacturer take-back points for small electronics, phones, accessories and household devices. Locations should be searchable through a national or state-level map. Collection partners should issue a digital handover receipt.</w:t>
      </w:r>
    </w:p>
    <w:p>
      <w:pPr>
        <w:pStyle w:val="ListBullet"/>
        <w:spacing w:after="80"/>
      </w:pPr>
      <w:r>
        <w:t>Producer EPR contributions should transparently support collection, logistics and environmentally sound processing. Funding formulas can recognize difficult-to-collect products rather than only total weight. Audits should verify actual material movement.</w:t>
      </w:r>
    </w:p>
    <w:p>
      <w:pPr>
        <w:pStyle w:val="ListBullet"/>
        <w:spacing w:after="80"/>
      </w:pPr>
      <w:r>
        <w:t>Data destruction and privacy should be part of formal e-waste collection. Collection points should communicate that devices will be handled by authorized entities and that personal data should be deleted before handover. This can address a documented trust barrier in Maharashtra.</w:t>
      </w:r>
    </w:p>
    <w:p>
      <w:pPr>
        <w:pStyle w:val="Heading2"/>
      </w:pPr>
      <w:r>
        <w:t>Conclusion</w:t>
      </w:r>
    </w:p>
    <w:p>
      <w:pPr>
        <w:pStyle w:val="ListBullet"/>
        <w:spacing w:after="80"/>
      </w:pPr>
      <w:r>
        <w:t>Switzerland demonstrates how financing and convenience can turn responsible disposal into a normal consumer service. The advance contribution links product sales to future waste-management costs. Its take-back network then makes the system usable in practice.</w:t>
      </w:r>
    </w:p>
    <w:p>
      <w:pPr>
        <w:pStyle w:val="ListBullet"/>
        <w:spacing w:after="80"/>
      </w:pPr>
      <w:r>
        <w:t>The case is especially relevant to India because India already has an EPR architecture. The gap is less about inventing the principle and more about improving collection reach, traceability and participation. Informal collectors can be incorporated into this chain.</w:t>
      </w:r>
    </w:p>
    <w:p>
      <w:pPr>
        <w:pStyle w:val="ListBullet"/>
        <w:spacing w:after="80"/>
      </w:pPr>
      <w:r>
        <w:t>The Swiss experience should therefore be used as a design reference rather than a one-to-one template. Differences in population scale, informal-sector structure and income levels require local adaptation.</w:t>
      </w:r>
    </w:p>
    <w:p>
      <w:pPr>
        <w:pStyle w:val="Heading2"/>
      </w:pPr>
      <w:r>
        <w:t>References</w:t>
      </w:r>
    </w:p>
    <w:p>
      <w:pPr>
        <w:pStyle w:val="ListBullet"/>
      </w:pPr>
      <w:r>
        <w:rPr>
          <w:b/>
        </w:rPr>
        <w:t xml:space="preserve">SENS eRecycling — 2024 Facts &amp; Figures — </w:t>
      </w:r>
      <w:r>
        <w:t>https://www.erecycling.ch/en/ueber-sens/medien-und-publikationen/geschaeftsbericht/overview-2024/facts-figures.html</w:t>
      </w:r>
    </w:p>
    <w:p>
      <w:pPr>
        <w:pStyle w:val="ListBullet"/>
      </w:pPr>
      <w:r>
        <w:rPr>
          <w:b/>
        </w:rPr>
        <w:t xml:space="preserve">Swico Recycling — Tariffs and Advance Recycling Contribution — </w:t>
      </w:r>
      <w:r>
        <w:t>https://www.swico.ch/en/recycling/basics/tariffs/</w:t>
      </w:r>
    </w:p>
    <w:p>
      <w:pPr>
        <w:pStyle w:val="ListBullet"/>
      </w:pPr>
      <w:r>
        <w:rPr>
          <w:b/>
        </w:rPr>
        <w:t xml:space="preserve">Swico Recycling — System overview — </w:t>
      </w:r>
      <w:r>
        <w:t>https://www.swico.ch/en/recycling/basics/swico-recycling-system/</w:t>
      </w:r>
    </w:p>
    <w:p>
      <w:r>
        <w:br w:type="page"/>
      </w:r>
    </w:p>
    <w:p>
      <w:pPr>
        <w:pStyle w:val="Heading1"/>
      </w:pPr>
      <w:r>
        <w:t>3. India's E-Waste Management Rules 2022</w:t>
      </w:r>
    </w:p>
    <w:p>
      <w:pPr>
        <w:pStyle w:val="Heading2"/>
      </w:pPr>
      <w:r>
        <w:t>Cover / Details</w:t>
      </w:r>
    </w:p>
    <w:p>
      <w:r>
        <w:rPr>
          <w:b/>
        </w:rPr>
        <w:t xml:space="preserve">Case-study theme: </w:t>
      </w:r>
      <w:r>
        <w:t>India's E-Waste Management Rules 2022</w:t>
      </w:r>
    </w:p>
    <w:p>
      <w:r>
        <w:rPr>
          <w:b/>
        </w:rPr>
        <w:t xml:space="preserve">Primary focus: </w:t>
      </w:r>
      <w:r>
        <w:t>Waste management, recycling, e-waste governance, circular economy, institutional design and India comparison.</w:t>
      </w:r>
    </w:p>
    <w:p>
      <w:r>
        <w:rPr>
          <w:b/>
        </w:rPr>
        <w:t xml:space="preserve">Use in MSE 2: </w:t>
      </w:r>
      <w:r>
        <w:t>Use the headings and point structure directly for report answers; data points are included for evidence-based answers.</w:t>
      </w:r>
    </w:p>
    <w:p>
      <w:pPr>
        <w:pStyle w:val="Heading2"/>
      </w:pPr>
      <w:r>
        <w:t>Executive Summary</w:t>
      </w:r>
    </w:p>
    <w:p>
      <w:pPr>
        <w:pStyle w:val="ListBullet"/>
        <w:spacing w:after="80"/>
      </w:pPr>
      <w:r>
        <w:t>The E-Waste (Management) Rules, 2022 replaced the earlier framework and came into force on 1 April 2023. The rules create an EPR-based system in which producers have recycling obligations and must meet them through registered recyclers and the EPR portal. The framework covers 106 electrical and electronic equipment items across seven categories.</w:t>
      </w:r>
    </w:p>
    <w:p>
      <w:pPr>
        <w:pStyle w:val="ListBullet"/>
        <w:spacing w:after="80"/>
      </w:pPr>
      <w:r>
        <w:t>The rules shift attention from collection-only targets toward recycling obligations based on end products of recycling. EPR certificates are generated through the portal from recycling data, and producers fulfil obligations by purchasing the required certificates from registered recyclers. The framework also provides for refurbishing certificates and environmental compensation for violations.</w:t>
      </w:r>
    </w:p>
    <w:p>
      <w:pPr>
        <w:pStyle w:val="ListBullet"/>
        <w:spacing w:after="80"/>
      </w:pPr>
      <w:r>
        <w:t>Recent national data show the scale of implementation: CPCB estimates 12,54,286.55 MT of e-waste generation in FY2023-24 and 13,97,955.59 MT in FY2024-25. A 2025 government response reported 61.94% and 70.71% respectively for e-waste collected, dismantled and recycled/disposed, while another parliamentary summary reports 7,78,205.16 MT and 11,59,228.25 MT recycled. These figures use different measures, so the metric definition must always be stated.</w:t>
      </w:r>
    </w:p>
    <w:p>
      <w:pPr>
        <w:pStyle w:val="Heading2"/>
      </w:pPr>
      <w:r>
        <w:t>Background</w:t>
      </w:r>
    </w:p>
    <w:p>
      <w:pPr>
        <w:pStyle w:val="ListBullet"/>
        <w:spacing w:after="80"/>
      </w:pPr>
      <w:r>
        <w:t>India's e-waste challenge has grown with increasing sales and replacement of electrical and electronic equipment. The 2022 rules were designed to create a more centralized and traceable EPR mechanism. CPCB operates the EPR portal for registration, reporting and certificate-related processes.</w:t>
      </w:r>
    </w:p>
    <w:p>
      <w:pPr>
        <w:pStyle w:val="ListBullet"/>
        <w:spacing w:after="80"/>
      </w:pPr>
      <w:r>
        <w:t>The rules apply to manufacturers, producers, recyclers, refurbishers and dismantlers involved with covered equipment. Producers are assigned EPR obligations, while registered recyclers generate certificates based on recycling activity. The system is therefore designed to connect market actors through a digital compliance mechanism.</w:t>
      </w:r>
    </w:p>
    <w:p>
      <w:pPr>
        <w:pStyle w:val="ListBullet"/>
        <w:spacing w:after="80"/>
      </w:pPr>
      <w:r>
        <w:t>The rules also recognize reuse and refurbishment alongside recycling. Solar photovoltaic modules are included in the schedule, although the treatment of their recycling targets has a separate timeline. This shows an attempt to anticipate emerging waste streams.</w:t>
      </w:r>
    </w:p>
    <w:p>
      <w:pPr>
        <w:pStyle w:val="Heading2"/>
      </w:pPr>
      <w:r>
        <w:t>Strategy / Initiative</w:t>
      </w:r>
    </w:p>
    <w:p>
      <w:pPr>
        <w:pStyle w:val="ListBullet"/>
        <w:spacing w:after="80"/>
      </w:pPr>
      <w:r>
        <w:t>The first strategy is digital EPR registration and reporting. Producers and recyclers interact through the EPR portal, creating a centralized record of obligations and recycling data. CPCB also publishes guidance and training material for stakeholders.</w:t>
      </w:r>
    </w:p>
    <w:p>
      <w:pPr>
        <w:pStyle w:val="ListBullet"/>
        <w:spacing w:after="80"/>
      </w:pPr>
      <w:r>
        <w:t>The second strategy is certificate-based compliance. Registered recyclers generate EPR certificates based on accepted recycling outputs, and producers purchase certificates proportionately to meet their obligations. This creates a market-linked mechanism for demonstrating compliance.</w:t>
      </w:r>
    </w:p>
    <w:p>
      <w:pPr>
        <w:pStyle w:val="ListBullet"/>
        <w:spacing w:after="80"/>
      </w:pPr>
      <w:r>
        <w:t>The third strategy is stronger enforcement through environmental compensation, audits and returns. The rules provide for quarterly and annual returns and allow environmental compensation where provisions are violated. The intention is to move compliance from voluntary claims toward documented performance.</w:t>
      </w:r>
    </w:p>
    <w:p>
      <w:pPr>
        <w:pStyle w:val="Heading2"/>
      </w:pPr>
      <w:r>
        <w:t>Impact &amp; Results</w:t>
      </w:r>
    </w:p>
    <w:p>
      <w:pPr>
        <w:pStyle w:val="ListBullet"/>
        <w:spacing w:after="80"/>
      </w:pPr>
      <w:r>
        <w:t>CPCB's current estimate places organized-sector e-waste generation at 12,54,286.55 MT in FY2023-24 and 13,97,955.59 MT in FY2024-25. CPCB notes that these estimates are based on registered producers and sales data, so unorganized-sector generation is not captured in the same way. This is an important limitation when interpreting national totals.</w:t>
      </w:r>
    </w:p>
    <w:p>
      <w:pPr>
        <w:pStyle w:val="ListBullet"/>
        <w:spacing w:after="80"/>
      </w:pPr>
      <w:r>
        <w:t>Government data show an increase in the quantity recycled from 7,78,205.16 MT in FY2023-24 to 11,59,228.25 MT in FY2024-25. PRS summarizes these as 62% and 83% of estimated generation respectively. The percentages differ from another government table that uses the broader collected/dismantled/recycled/disposed measure, so students should state the numerator and denominator.</w:t>
      </w:r>
    </w:p>
    <w:p>
      <w:pPr>
        <w:pStyle w:val="ListBullet"/>
        <w:spacing w:after="80"/>
      </w:pPr>
      <w:r>
        <w:t>The framework has also expanded administrative infrastructure. CPCB's portal provides registration procedures, EPR certificate guidance, annual-return instructions and environmental-compensation guidelines. The continuing development of these digital tools indicates that implementation is an evolving process rather than a finished system.</w:t>
      </w:r>
    </w:p>
    <w:p>
      <w:pPr>
        <w:pStyle w:val="Heading3"/>
      </w:pPr>
      <w:r>
        <w:t>Data Table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Indicator</w:t>
            </w:r>
          </w:p>
        </w:tc>
        <w:tc>
          <w:tcPr>
            <w:tcW w:type="dxa" w:w="5040"/>
            <w:vAlign w:val="center"/>
            <w:shd w:fill="D9EAF7"/>
          </w:tcPr>
          <w:p>
            <w:r/>
            <w:r>
              <w:rPr>
                <w:b/>
                <w:sz w:val="18"/>
              </w:rPr>
              <w:t>Case-study evidence / data</w:t>
            </w:r>
          </w:p>
        </w:tc>
      </w:tr>
      <w:tr>
        <w:tc>
          <w:tcPr>
            <w:tcW w:type="dxa" w:w="5040"/>
            <w:vAlign w:val="center"/>
          </w:tcPr>
          <w:p>
            <w:r/>
            <w:r>
              <w:rPr>
                <w:b w:val="0"/>
                <w:sz w:val="18"/>
              </w:rPr>
              <w:t>Rules effective from</w:t>
            </w:r>
          </w:p>
        </w:tc>
        <w:tc>
          <w:tcPr>
            <w:tcW w:type="dxa" w:w="5040"/>
            <w:vAlign w:val="center"/>
          </w:tcPr>
          <w:p>
            <w:r/>
            <w:r>
              <w:rPr>
                <w:b w:val="0"/>
                <w:sz w:val="18"/>
              </w:rPr>
              <w:t>1 April 2023</w:t>
            </w:r>
          </w:p>
        </w:tc>
      </w:tr>
      <w:tr>
        <w:tc>
          <w:tcPr>
            <w:tcW w:type="dxa" w:w="5040"/>
            <w:vAlign w:val="center"/>
          </w:tcPr>
          <w:p>
            <w:r/>
            <w:r>
              <w:rPr>
                <w:b w:val="0"/>
                <w:sz w:val="18"/>
              </w:rPr>
              <w:t>EEE covered</w:t>
            </w:r>
          </w:p>
        </w:tc>
        <w:tc>
          <w:tcPr>
            <w:tcW w:type="dxa" w:w="5040"/>
            <w:vAlign w:val="center"/>
          </w:tcPr>
          <w:p>
            <w:r/>
            <w:r>
              <w:rPr>
                <w:b w:val="0"/>
                <w:sz w:val="18"/>
              </w:rPr>
              <w:t>106 items across 7 categories</w:t>
            </w:r>
          </w:p>
        </w:tc>
      </w:tr>
      <w:tr>
        <w:tc>
          <w:tcPr>
            <w:tcW w:type="dxa" w:w="5040"/>
            <w:vAlign w:val="center"/>
          </w:tcPr>
          <w:p>
            <w:r/>
            <w:r>
              <w:rPr>
                <w:b w:val="0"/>
                <w:sz w:val="18"/>
              </w:rPr>
              <w:t>Estimated generation, FY2023-24</w:t>
            </w:r>
          </w:p>
        </w:tc>
        <w:tc>
          <w:tcPr>
            <w:tcW w:type="dxa" w:w="5040"/>
            <w:vAlign w:val="center"/>
          </w:tcPr>
          <w:p>
            <w:r/>
            <w:r>
              <w:rPr>
                <w:b w:val="0"/>
                <w:sz w:val="18"/>
              </w:rPr>
              <w:t>12,54,286.55 MT</w:t>
            </w:r>
          </w:p>
        </w:tc>
      </w:tr>
      <w:tr>
        <w:tc>
          <w:tcPr>
            <w:tcW w:type="dxa" w:w="5040"/>
            <w:vAlign w:val="center"/>
          </w:tcPr>
          <w:p>
            <w:r/>
            <w:r>
              <w:rPr>
                <w:b w:val="0"/>
                <w:sz w:val="18"/>
              </w:rPr>
              <w:t>Estimated generation, FY2024-25</w:t>
            </w:r>
          </w:p>
        </w:tc>
        <w:tc>
          <w:tcPr>
            <w:tcW w:type="dxa" w:w="5040"/>
            <w:vAlign w:val="center"/>
          </w:tcPr>
          <w:p>
            <w:r/>
            <w:r>
              <w:rPr>
                <w:b w:val="0"/>
                <w:sz w:val="18"/>
              </w:rPr>
              <w:t>13,97,955.59 MT</w:t>
            </w:r>
          </w:p>
        </w:tc>
      </w:tr>
      <w:tr>
        <w:tc>
          <w:tcPr>
            <w:tcW w:type="dxa" w:w="5040"/>
            <w:vAlign w:val="center"/>
          </w:tcPr>
          <w:p>
            <w:r/>
            <w:r>
              <w:rPr>
                <w:b w:val="0"/>
                <w:sz w:val="18"/>
              </w:rPr>
              <w:t>Recycled, FY2023-24</w:t>
            </w:r>
          </w:p>
        </w:tc>
        <w:tc>
          <w:tcPr>
            <w:tcW w:type="dxa" w:w="5040"/>
            <w:vAlign w:val="center"/>
          </w:tcPr>
          <w:p>
            <w:r/>
            <w:r>
              <w:rPr>
                <w:b w:val="0"/>
                <w:sz w:val="18"/>
              </w:rPr>
              <w:t>7,78,205.16 MT</w:t>
            </w:r>
          </w:p>
        </w:tc>
      </w:tr>
      <w:tr>
        <w:tc>
          <w:tcPr>
            <w:tcW w:type="dxa" w:w="5040"/>
            <w:vAlign w:val="center"/>
          </w:tcPr>
          <w:p>
            <w:r/>
            <w:r>
              <w:rPr>
                <w:b w:val="0"/>
                <w:sz w:val="18"/>
              </w:rPr>
              <w:t>Recycled, FY2024-25</w:t>
            </w:r>
          </w:p>
        </w:tc>
        <w:tc>
          <w:tcPr>
            <w:tcW w:type="dxa" w:w="5040"/>
            <w:vAlign w:val="center"/>
          </w:tcPr>
          <w:p>
            <w:r/>
            <w:r>
              <w:rPr>
                <w:b w:val="0"/>
                <w:sz w:val="18"/>
              </w:rPr>
              <w:t>11,59,228.25 MT</w:t>
            </w:r>
          </w:p>
        </w:tc>
      </w:tr>
    </w:tbl>
    <w:p/>
    <w:p>
      <w:pPr>
        <w:pStyle w:val="Heading2"/>
      </w:pPr>
      <w:r>
        <w:t>SWOT Analysis</w:t>
      </w:r>
    </w:p>
    <w:p>
      <w:pPr>
        <w:pStyle w:val="ListBullet"/>
        <w:spacing w:after="80"/>
      </w:pPr>
      <w:r>
        <w:t>Strength: The 2022 rules provide a national digital EPR mechanism and define stakeholder responsibilities. This creates a common compliance architecture across states.</w:t>
      </w:r>
    </w:p>
    <w:p>
      <w:pPr>
        <w:pStyle w:val="ListBullet"/>
        <w:spacing w:after="80"/>
      </w:pPr>
      <w:r>
        <w:t>Strength: Recycling certificates, refurbishing certificates and environmental compensation create multiple policy instruments. The framework therefore addresses recycling, reuse and enforcement.</w:t>
      </w:r>
    </w:p>
    <w:p>
      <w:pPr>
        <w:pStyle w:val="ListBullet"/>
        <w:spacing w:after="80"/>
      </w:pPr>
      <w:r>
        <w:t>Weakness: CPCB's national generation estimates are based on registered producers and do not capture the full unorganized sector. This can create a gap between portal data and the actual physical waste stream.</w:t>
      </w:r>
    </w:p>
    <w:p>
      <w:pPr>
        <w:pStyle w:val="ListBullet"/>
        <w:spacing w:after="80"/>
      </w:pPr>
      <w:r>
        <w:t>Opportunity: Integration with municipal collection and informal collectors can improve collection coverage. Better material-flow data can also strengthen certificate verification.</w:t>
      </w:r>
    </w:p>
    <w:p>
      <w:pPr>
        <w:pStyle w:val="ListBullet"/>
        <w:spacing w:after="80"/>
      </w:pPr>
      <w:r>
        <w:t>Threat: If certificate generation is not matched to physically verified recycling, digital compliance can diverge from environmental outcomes. Rapid growth in batteries, solar equipment and complex electronics also increases technical challenges.</w:t>
      </w:r>
    </w:p>
    <w:p>
      <w:pPr>
        <w:pStyle w:val="Heading2"/>
      </w:pPr>
      <w:r>
        <w:t>Comparison with India</w:t>
      </w:r>
    </w:p>
    <w:p>
      <w:pPr>
        <w:pStyle w:val="ListBullet"/>
        <w:spacing w:after="80"/>
      </w:pPr>
      <w:r>
        <w:t>This case is itself the Indian national benchmark against which the other Indian case studies can be compared. Bengaluru and Mumbai illustrate city-level collection ecosystems, while Kerala and Pune illustrate institutional or cooperative approaches. The national rules provide the regulatory layer connecting these local systems.</w:t>
      </w:r>
    </w:p>
    <w:p>
      <w:pPr>
        <w:pStyle w:val="ListBullet"/>
        <w:spacing w:after="80"/>
      </w:pPr>
      <w:r>
        <w:t>India's 2022 framework is more digitally centralized than many older local systems. However, physical collection remains decentralized and often depends on informal actors. The challenge is therefore to connect the digital EPR chain with real-world collection.</w:t>
      </w:r>
    </w:p>
    <w:p>
      <w:pPr>
        <w:pStyle w:val="ListBullet"/>
        <w:spacing w:after="80"/>
      </w:pPr>
      <w:r>
        <w:t>The rules also provide a formal route for recycling through registered recyclers. India's informal sector remains important, so policy implementation has to consider integration, incentives and worker safety rather than assuming immediate replacement of informal collection.</w:t>
      </w:r>
    </w:p>
    <w:p>
      <w:pPr>
        <w:pStyle w:val="Heading2"/>
      </w:pPr>
      <w:r>
        <w:t>Recommendations</w:t>
      </w:r>
    </w:p>
    <w:p>
      <w:pPr>
        <w:pStyle w:val="ListBullet"/>
        <w:spacing w:after="80"/>
      </w:pPr>
      <w:r>
        <w:t>Improve EPR portal verification by linking certificates to digital weighbridge records, recycler capacity and downstream material recovery. Random audits can compare declared quantities with physical inventories. This would strengthen confidence in certificate-based compliance.</w:t>
      </w:r>
    </w:p>
    <w:p>
      <w:pPr>
        <w:pStyle w:val="ListBullet"/>
        <w:spacing w:after="80"/>
      </w:pPr>
      <w:r>
        <w:t>Create formal integration pathways for informal collectors and aggregators. They can supply material to registered recyclers while receiving training, protective equipment and predictable payment. This can increase collection without losing the reach of the existing network.</w:t>
      </w:r>
    </w:p>
    <w:p>
      <w:pPr>
        <w:pStyle w:val="ListBullet"/>
        <w:spacing w:after="80"/>
      </w:pPr>
      <w:r>
        <w:t>Publish state and city dashboards using standardized definitions for generation, collection, dismantling, recycling and disposal. Clear definitions would prevent confusion between different percentages reported from the same year. Public data should distinguish organized-sector estimates from total estimated waste.</w:t>
      </w:r>
    </w:p>
    <w:p>
      <w:pPr>
        <w:pStyle w:val="Heading2"/>
      </w:pPr>
      <w:r>
        <w:t>Conclusion</w:t>
      </w:r>
    </w:p>
    <w:p>
      <w:pPr>
        <w:pStyle w:val="ListBullet"/>
        <w:spacing w:after="80"/>
      </w:pPr>
      <w:r>
        <w:t>The 2022 rules represent a major shift toward digital EPR and certificate-based recycling compliance. Their success depends on whether digital obligations correspond to physically verified material flows. The framework therefore needs strong collection, auditing and recycler capacity alongside portal infrastructure.</w:t>
      </w:r>
    </w:p>
    <w:p>
      <w:pPr>
        <w:pStyle w:val="ListBullet"/>
        <w:spacing w:after="80"/>
      </w:pPr>
      <w:r>
        <w:t>India's recent data indicate substantial growth in reported recycling quantities. At the same time, the gap between organized-sector measurement and the wider informal economy remains important. This makes integration and verification central implementation issues.</w:t>
      </w:r>
    </w:p>
    <w:p>
      <w:pPr>
        <w:pStyle w:val="ListBullet"/>
        <w:spacing w:after="80"/>
      </w:pPr>
      <w:r>
        <w:t>For MSE analysis, the key concept is that regulation alone does not complete the recycling chain. Producers, recyclers, municipalities, consumers and collection workers must be connected through measurable responsibilities.</w:t>
      </w:r>
    </w:p>
    <w:p>
      <w:pPr>
        <w:pStyle w:val="Heading2"/>
      </w:pPr>
      <w:r>
        <w:t>References</w:t>
      </w:r>
    </w:p>
    <w:p>
      <w:pPr>
        <w:pStyle w:val="ListBullet"/>
      </w:pPr>
      <w:r>
        <w:rPr>
          <w:b/>
        </w:rPr>
        <w:t xml:space="preserve">MoEFCC — E-Waste (Management) Rules, 2022 — </w:t>
      </w:r>
      <w:r>
        <w:t>https://moef.gov.in/rules-regulations-3</w:t>
      </w:r>
    </w:p>
    <w:p>
      <w:pPr>
        <w:pStyle w:val="ListBullet"/>
      </w:pPr>
      <w:r>
        <w:rPr>
          <w:b/>
        </w:rPr>
        <w:t xml:space="preserve">CPCB — E-Waste FAQ — </w:t>
      </w:r>
      <w:r>
        <w:t>https://cpcb.nic.in/uploads/Projects/E-Waste/FAQ_ewaste_23012024.pdf</w:t>
      </w:r>
    </w:p>
    <w:p>
      <w:pPr>
        <w:pStyle w:val="ListBullet"/>
      </w:pPr>
      <w:r>
        <w:rPr>
          <w:b/>
        </w:rPr>
        <w:t xml:space="preserve">CPCB — E-Waste EPR Portal — </w:t>
      </w:r>
      <w:r>
        <w:t>https://eprewaste.cpcb.gov.in/</w:t>
      </w:r>
    </w:p>
    <w:p>
      <w:pPr>
        <w:pStyle w:val="ListBullet"/>
      </w:pPr>
      <w:r>
        <w:rPr>
          <w:b/>
        </w:rPr>
        <w:t xml:space="preserve">PIB — E-Waste Management Rules and national data — </w:t>
      </w:r>
      <w:r>
        <w:t>https://www.pib.gov.in/PressReleasePage.aspx?PRID=2147876</w:t>
      </w:r>
    </w:p>
    <w:p>
      <w:r>
        <w:br w:type="page"/>
      </w:r>
    </w:p>
    <w:p>
      <w:pPr>
        <w:pStyle w:val="Heading1"/>
      </w:pPr>
      <w:r>
        <w:t>4. India's Extended Producer Responsibility (EPR): Success or Paper Compliance?</w:t>
      </w:r>
    </w:p>
    <w:p>
      <w:pPr>
        <w:pStyle w:val="Heading2"/>
      </w:pPr>
      <w:r>
        <w:t>Cover / Details</w:t>
      </w:r>
    </w:p>
    <w:p>
      <w:r>
        <w:rPr>
          <w:b/>
        </w:rPr>
        <w:t xml:space="preserve">Case-study theme: </w:t>
      </w:r>
      <w:r>
        <w:t>India's Extended Producer Responsibility (EPR): Success or Paper Compliance?</w:t>
      </w:r>
    </w:p>
    <w:p>
      <w:r>
        <w:rPr>
          <w:b/>
        </w:rPr>
        <w:t xml:space="preserve">Primary focus: </w:t>
      </w:r>
      <w:r>
        <w:t>Waste management, recycling, e-waste governance, circular economy, institutional design and India comparison.</w:t>
      </w:r>
    </w:p>
    <w:p>
      <w:r>
        <w:rPr>
          <w:b/>
        </w:rPr>
        <w:t xml:space="preserve">Use in MSE 2: </w:t>
      </w:r>
      <w:r>
        <w:t>Use the headings and point structure directly for report answers; data points are included for evidence-based answers.</w:t>
      </w:r>
    </w:p>
    <w:p>
      <w:pPr>
        <w:pStyle w:val="Heading2"/>
      </w:pPr>
      <w:r>
        <w:t>Executive Summary</w:t>
      </w:r>
    </w:p>
    <w:p>
      <w:pPr>
        <w:pStyle w:val="ListBullet"/>
        <w:spacing w:after="80"/>
      </w:pPr>
      <w:r>
        <w:t>India's EPR model makes producers responsible for meeting prescribed end-of-life recycling obligations through registered recyclers. The 2022 e-waste rules operationalize this through an online EPR portal and certificates. This creates a measurable compliance mechanism, but the physical collection chain remains a critical determinant of environmental outcomes.</w:t>
      </w:r>
    </w:p>
    <w:p>
      <w:pPr>
        <w:pStyle w:val="ListBullet"/>
        <w:spacing w:after="80"/>
      </w:pPr>
      <w:r>
        <w:t>Evidence of progress exists in the increase in reported recycling quantities between FY2023-24 and FY2024-25. However, CPCB also states that national e-waste generation estimates are based on registered producers and that unorganized-sector generation is not available through the portal. Therefore, portal performance should be interpreted as an important but incomplete picture of the total system.</w:t>
      </w:r>
    </w:p>
    <w:p>
      <w:pPr>
        <w:pStyle w:val="ListBullet"/>
        <w:spacing w:after="80"/>
      </w:pPr>
      <w:r>
        <w:t>The phrase 'paper compliance' can be examined as a risk rather than as an established conclusion. Digital certificates can demonstrate a transaction, but environmental performance ultimately requires verified collection, dismantling and material recovery. The central issue is whether EPR data, recycler capacity and physical waste flows remain aligned.</w:t>
      </w:r>
    </w:p>
    <w:p>
      <w:pPr>
        <w:pStyle w:val="Heading2"/>
      </w:pPr>
      <w:r>
        <w:t>Background</w:t>
      </w:r>
    </w:p>
    <w:p>
      <w:pPr>
        <w:pStyle w:val="ListBullet"/>
        <w:spacing w:after="80"/>
      </w:pPr>
      <w:r>
        <w:t>EPR extends producer responsibility beyond the sale of a product to its post-consumer stage. In India's e-waste framework, producers have prescribed recycling obligations and can meet them through EPR certificates generated by registered recyclers. This shifts part of the financial and organizational responsibility away from municipal governments.</w:t>
      </w:r>
    </w:p>
    <w:p>
      <w:pPr>
        <w:pStyle w:val="ListBullet"/>
        <w:spacing w:after="80"/>
      </w:pPr>
      <w:r>
        <w:t>The 2022 rules use a portal to register stakeholders, record obligations and manage certificates. Producers submit information and recyclers submit processing data. The system is intended to create traceability and reduce reliance on informal claims of recycling.</w:t>
      </w:r>
    </w:p>
    <w:p>
      <w:pPr>
        <w:pStyle w:val="ListBullet"/>
        <w:spacing w:after="80"/>
      </w:pPr>
      <w:r>
        <w:t>India's informal sector remains significant in collection and recycling. NITI Aayog's 2026 circular-economy report states that the informal sector processes about 78% of India's total e-waste and highlights lower material-recovery rates in informal processing. This makes integration with the formal EPR system a central policy challenge.</w:t>
      </w:r>
    </w:p>
    <w:p>
      <w:pPr>
        <w:pStyle w:val="Heading2"/>
      </w:pPr>
      <w:r>
        <w:t>Strategy / Initiative</w:t>
      </w:r>
    </w:p>
    <w:p>
      <w:pPr>
        <w:pStyle w:val="ListBullet"/>
        <w:spacing w:after="80"/>
      </w:pPr>
      <w:r>
        <w:t>The first strategy is obligation setting: producers receive EPR targets based on the equipment they place on the market. This creates a quantitative responsibility rather than a general sustainability commitment. Targets can then be matched with certificates.</w:t>
      </w:r>
    </w:p>
    <w:p>
      <w:pPr>
        <w:pStyle w:val="ListBullet"/>
        <w:spacing w:after="80"/>
      </w:pPr>
      <w:r>
        <w:t>The second strategy is market-based certificate transfer. Registered recyclers generate certificates and producers purchase them to fulfil obligations. This creates an economic link between recycling capacity and producer compliance.</w:t>
      </w:r>
    </w:p>
    <w:p>
      <w:pPr>
        <w:pStyle w:val="ListBullet"/>
        <w:spacing w:after="80"/>
      </w:pPr>
      <w:r>
        <w:t>The third strategy is verification and enforcement. CPCB provides for audits, annual and quarterly returns and environmental compensation for violations. The effectiveness of these instruments depends on the quality of data and the ability to verify actual processing.</w:t>
      </w:r>
    </w:p>
    <w:p>
      <w:pPr>
        <w:pStyle w:val="Heading2"/>
      </w:pPr>
      <w:r>
        <w:t>Impact &amp; Results</w:t>
      </w:r>
    </w:p>
    <w:p>
      <w:pPr>
        <w:pStyle w:val="ListBullet"/>
        <w:spacing w:after="80"/>
      </w:pPr>
      <w:r>
        <w:t>National recycling quantities reported under the 2022 framework increased from 7,78,205.16 MT in FY2023-24 to 11,59,228.25 MT in FY2024-25. This is a substantial increase in reported recycling activity. It provides evidence of system expansion but does not by itself prove that all generated e-waste is entering the formal chain.</w:t>
      </w:r>
    </w:p>
    <w:p>
      <w:pPr>
        <w:pStyle w:val="ListBullet"/>
        <w:spacing w:after="80"/>
      </w:pPr>
      <w:r>
        <w:t>CPCB estimates organized-sector e-waste generation at 12,54,286.55 MT in FY2023-24 and 13,97,955.59 MT in FY2024-25. The agency explicitly notes that the EPR portal captures registered producers and does not provide a comparable estimate of unorganized-sector generation. This is a key data limitation for judging system-wide compliance.</w:t>
      </w:r>
    </w:p>
    <w:p>
      <w:pPr>
        <w:pStyle w:val="ListBullet"/>
        <w:spacing w:after="80"/>
      </w:pPr>
      <w:r>
        <w:t>NITI Aayog's 2026 report describes the informal sector as dominant in India's e-waste ecosystem and estimates that it processes roughly 78% of total e-waste. It also reports a large difference in material recovery between informal and formal facilities. These findings indicate why collection integration and safe processing matter alongside certificate compliance.</w:t>
      </w:r>
    </w:p>
    <w:p>
      <w:pPr>
        <w:pStyle w:val="Heading3"/>
      </w:pPr>
      <w:r>
        <w:t>Data Table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Indicator</w:t>
            </w:r>
          </w:p>
        </w:tc>
        <w:tc>
          <w:tcPr>
            <w:tcW w:type="dxa" w:w="5040"/>
            <w:vAlign w:val="center"/>
            <w:shd w:fill="D9EAF7"/>
          </w:tcPr>
          <w:p>
            <w:r/>
            <w:r>
              <w:rPr>
                <w:b/>
                <w:sz w:val="18"/>
              </w:rPr>
              <w:t>Case-study evidence / data</w:t>
            </w:r>
          </w:p>
        </w:tc>
      </w:tr>
      <w:tr>
        <w:tc>
          <w:tcPr>
            <w:tcW w:type="dxa" w:w="5040"/>
            <w:vAlign w:val="center"/>
          </w:tcPr>
          <w:p>
            <w:r/>
            <w:r>
              <w:rPr>
                <w:b w:val="0"/>
                <w:sz w:val="18"/>
              </w:rPr>
              <w:t>Reported e-waste recycled, FY2023-24</w:t>
            </w:r>
          </w:p>
        </w:tc>
        <w:tc>
          <w:tcPr>
            <w:tcW w:type="dxa" w:w="5040"/>
            <w:vAlign w:val="center"/>
          </w:tcPr>
          <w:p>
            <w:r/>
            <w:r>
              <w:rPr>
                <w:b w:val="0"/>
                <w:sz w:val="18"/>
              </w:rPr>
              <w:t>7,78,205.16 MT</w:t>
            </w:r>
          </w:p>
        </w:tc>
      </w:tr>
      <w:tr>
        <w:tc>
          <w:tcPr>
            <w:tcW w:type="dxa" w:w="5040"/>
            <w:vAlign w:val="center"/>
          </w:tcPr>
          <w:p>
            <w:r/>
            <w:r>
              <w:rPr>
                <w:b w:val="0"/>
                <w:sz w:val="18"/>
              </w:rPr>
              <w:t>Reported e-waste recycled, FY2024-25</w:t>
            </w:r>
          </w:p>
        </w:tc>
        <w:tc>
          <w:tcPr>
            <w:tcW w:type="dxa" w:w="5040"/>
            <w:vAlign w:val="center"/>
          </w:tcPr>
          <w:p>
            <w:r/>
            <w:r>
              <w:rPr>
                <w:b w:val="0"/>
                <w:sz w:val="18"/>
              </w:rPr>
              <w:t>11,59,228.25 MT</w:t>
            </w:r>
          </w:p>
        </w:tc>
      </w:tr>
      <w:tr>
        <w:tc>
          <w:tcPr>
            <w:tcW w:type="dxa" w:w="5040"/>
            <w:vAlign w:val="center"/>
          </w:tcPr>
          <w:p>
            <w:r/>
            <w:r>
              <w:rPr>
                <w:b w:val="0"/>
                <w:sz w:val="18"/>
              </w:rPr>
              <w:t>CPCB organized-sector generation, FY2024-25</w:t>
            </w:r>
          </w:p>
        </w:tc>
        <w:tc>
          <w:tcPr>
            <w:tcW w:type="dxa" w:w="5040"/>
            <w:vAlign w:val="center"/>
          </w:tcPr>
          <w:p>
            <w:r/>
            <w:r>
              <w:rPr>
                <w:b w:val="0"/>
                <w:sz w:val="18"/>
              </w:rPr>
              <w:t>13,97,955.59 MT</w:t>
            </w:r>
          </w:p>
        </w:tc>
      </w:tr>
      <w:tr>
        <w:tc>
          <w:tcPr>
            <w:tcW w:type="dxa" w:w="5040"/>
            <w:vAlign w:val="center"/>
          </w:tcPr>
          <w:p>
            <w:r/>
            <w:r>
              <w:rPr>
                <w:b w:val="0"/>
                <w:sz w:val="18"/>
              </w:rPr>
              <w:t>Informal sector share cited by NITI Aayog, 2026</w:t>
            </w:r>
          </w:p>
        </w:tc>
        <w:tc>
          <w:tcPr>
            <w:tcW w:type="dxa" w:w="5040"/>
            <w:vAlign w:val="center"/>
          </w:tcPr>
          <w:p>
            <w:r/>
            <w:r>
              <w:rPr>
                <w:b w:val="0"/>
                <w:sz w:val="18"/>
              </w:rPr>
              <w:t>~78% of total e-waste</w:t>
            </w:r>
          </w:p>
        </w:tc>
      </w:tr>
      <w:tr>
        <w:tc>
          <w:tcPr>
            <w:tcW w:type="dxa" w:w="5040"/>
            <w:vAlign w:val="center"/>
          </w:tcPr>
          <w:p>
            <w:r/>
            <w:r>
              <w:rPr>
                <w:b w:val="0"/>
                <w:sz w:val="18"/>
              </w:rPr>
              <w:t>Formal material recovery cited by NITI Aayog</w:t>
            </w:r>
          </w:p>
        </w:tc>
        <w:tc>
          <w:tcPr>
            <w:tcW w:type="dxa" w:w="5040"/>
            <w:vAlign w:val="center"/>
          </w:tcPr>
          <w:p>
            <w:r/>
            <w:r>
              <w:rPr>
                <w:b w:val="0"/>
                <w:sz w:val="18"/>
              </w:rPr>
              <w:t>~95–97%</w:t>
            </w:r>
          </w:p>
        </w:tc>
      </w:tr>
      <w:tr>
        <w:tc>
          <w:tcPr>
            <w:tcW w:type="dxa" w:w="5040"/>
            <w:vAlign w:val="center"/>
          </w:tcPr>
          <w:p>
            <w:r/>
            <w:r>
              <w:rPr>
                <w:b w:val="0"/>
                <w:sz w:val="18"/>
              </w:rPr>
              <w:t>Informal material recovery cited by NITI Aayog</w:t>
            </w:r>
          </w:p>
        </w:tc>
        <w:tc>
          <w:tcPr>
            <w:tcW w:type="dxa" w:w="5040"/>
            <w:vAlign w:val="center"/>
          </w:tcPr>
          <w:p>
            <w:r/>
            <w:r>
              <w:rPr>
                <w:b w:val="0"/>
                <w:sz w:val="18"/>
              </w:rPr>
              <w:t>~10–20%</w:t>
            </w:r>
          </w:p>
        </w:tc>
      </w:tr>
    </w:tbl>
    <w:p/>
    <w:p>
      <w:pPr>
        <w:pStyle w:val="Heading2"/>
      </w:pPr>
      <w:r>
        <w:t>SWOT Analysis</w:t>
      </w:r>
    </w:p>
    <w:p>
      <w:pPr>
        <w:pStyle w:val="ListBullet"/>
        <w:spacing w:after="80"/>
      </w:pPr>
      <w:r>
        <w:t>Strength: EPR creates a direct responsibility for producers rather than placing the entire burden on public authorities. Digital certificates provide a mechanism for quantifying compliance.</w:t>
      </w:r>
    </w:p>
    <w:p>
      <w:pPr>
        <w:pStyle w:val="ListBullet"/>
        <w:spacing w:after="80"/>
      </w:pPr>
      <w:r>
        <w:t>Strength: The framework can generate market demand for authorized recycling capacity. Producer payments can potentially support collection and processing infrastructure.</w:t>
      </w:r>
    </w:p>
    <w:p>
      <w:pPr>
        <w:pStyle w:val="ListBullet"/>
        <w:spacing w:after="80"/>
      </w:pPr>
      <w:r>
        <w:t>Weakness: The portal does not fully capture unorganized-sector generation, making system-wide measurement difficult. A high certificate volume can therefore coexist with unmeasured physical flows.</w:t>
      </w:r>
    </w:p>
    <w:p>
      <w:pPr>
        <w:pStyle w:val="ListBullet"/>
        <w:spacing w:after="80"/>
      </w:pPr>
      <w:r>
        <w:t>Opportunity: Informal collectors can be integrated as collection partners feeding registered recyclers. This can preserve collection reach while improving safety and recovery.</w:t>
      </w:r>
    </w:p>
    <w:p>
      <w:pPr>
        <w:pStyle w:val="ListBullet"/>
        <w:spacing w:after="80"/>
      </w:pPr>
      <w:r>
        <w:t>Threat: Weak verification can create the risk of compliance becoming primarily documentary. Fraudulent or inflated recycling claims would reduce the environmental value of EPR.</w:t>
      </w:r>
    </w:p>
    <w:p>
      <w:pPr>
        <w:pStyle w:val="Heading2"/>
      </w:pPr>
      <w:r>
        <w:t>Comparison with India</w:t>
      </w:r>
    </w:p>
    <w:p>
      <w:pPr>
        <w:pStyle w:val="ListBullet"/>
        <w:spacing w:after="80"/>
      </w:pPr>
      <w:r>
        <w:t>India's EPR framework is a national policy mechanism, while its actual implementation depends on state pollution-control boards, urban local bodies, recyclers and market actors. The contrast between formal rules and local ecosystems is visible in Bengaluru, Mumbai, Kerala and Pune. EPR can function as the common financial and reporting layer across these different models.</w:t>
      </w:r>
    </w:p>
    <w:p>
      <w:pPr>
        <w:pStyle w:val="ListBullet"/>
        <w:spacing w:after="80"/>
      </w:pPr>
      <w:r>
        <w:t>India's informal sector provides extensive collection reach but often operates outside formal environmental controls. EPR implementation therefore needs a transition mechanism rather than a simple formal-versus-informal division. Registered aggregators and buy-back channels can help connect the two.</w:t>
      </w:r>
    </w:p>
    <w:p>
      <w:pPr>
        <w:pStyle w:val="ListBullet"/>
        <w:spacing w:after="80"/>
      </w:pPr>
      <w:r>
        <w:t>The strongest comparison is between documentation and physical outcomes. India can use digital certificates while also requiring evidence such as weighment, batch tracking, recycler capacity and downstream material recovery.</w:t>
      </w:r>
    </w:p>
    <w:p>
      <w:pPr>
        <w:pStyle w:val="Heading2"/>
      </w:pPr>
      <w:r>
        <w:t>Recommendations</w:t>
      </w:r>
    </w:p>
    <w:p>
      <w:pPr>
        <w:pStyle w:val="ListBullet"/>
        <w:spacing w:after="80"/>
      </w:pPr>
      <w:r>
        <w:t>Adopt stronger chain-of-custody verification for EPR certificates. Each certificate should be linked to measured input, processing batch, recovered material and authorized downstream destination. Periodic third-party audits should sample the physical chain.</w:t>
      </w:r>
    </w:p>
    <w:p>
      <w:pPr>
        <w:pStyle w:val="ListBullet"/>
        <w:spacing w:after="80"/>
      </w:pPr>
      <w:r>
        <w:t>Use EPR funds to support collection infrastructure in underserved areas. Producers can contribute to city and district collection networks through transparent service contracts. This would address the common gap between recycling obligations and collection access.</w:t>
      </w:r>
    </w:p>
    <w:p>
      <w:pPr>
        <w:pStyle w:val="ListBullet"/>
        <w:spacing w:after="80"/>
      </w:pPr>
      <w:r>
        <w:t>Integrate informal collectors through registration, training and safe-channel partnerships. The goal should be to formalize the material flow and worker protections without destroying the collection network that already exists. Performance should be measured through both environmental and livelihood indicators.</w:t>
      </w:r>
    </w:p>
    <w:p>
      <w:pPr>
        <w:pStyle w:val="Heading2"/>
      </w:pPr>
      <w:r>
        <w:t>Conclusion</w:t>
      </w:r>
    </w:p>
    <w:p>
      <w:pPr>
        <w:pStyle w:val="ListBullet"/>
        <w:spacing w:after="80"/>
      </w:pPr>
      <w:r>
        <w:t>EPR is neither only a success nor only paper compliance; its performance depends on how digital obligations connect to physical recycling. The national data show significant growth in reported recycling, while the measurement gap around informal activity remains. Both observations should be included in an exam answer.</w:t>
      </w:r>
    </w:p>
    <w:p>
      <w:pPr>
        <w:pStyle w:val="ListBullet"/>
        <w:spacing w:after="80"/>
      </w:pPr>
      <w:r>
        <w:t>The main risk is not the existence of digital compliance itself, but weak verification between certificates and physical outcomes. Stronger chain-of-custody systems can reduce this risk. Integration of informal collection can further improve coverage.</w:t>
      </w:r>
    </w:p>
    <w:p>
      <w:pPr>
        <w:pStyle w:val="ListBullet"/>
        <w:spacing w:after="80"/>
      </w:pPr>
      <w:r>
        <w:t>The case therefore illustrates a general policy lesson: producer responsibility works best when financing, collection, processing and verification operate as one system. India has the regulatory foundation, but implementation quality determines environmental results.</w:t>
      </w:r>
    </w:p>
    <w:p>
      <w:pPr>
        <w:pStyle w:val="Heading2"/>
      </w:pPr>
      <w:r>
        <w:t>References</w:t>
      </w:r>
    </w:p>
    <w:p>
      <w:pPr>
        <w:pStyle w:val="ListBullet"/>
      </w:pPr>
      <w:r>
        <w:rPr>
          <w:b/>
        </w:rPr>
        <w:t xml:space="preserve">CPCB — E-Waste EPR Portal — </w:t>
      </w:r>
      <w:r>
        <w:t>https://eprewaste.cpcb.gov.in/</w:t>
      </w:r>
    </w:p>
    <w:p>
      <w:pPr>
        <w:pStyle w:val="ListBullet"/>
      </w:pPr>
      <w:r>
        <w:rPr>
          <w:b/>
        </w:rPr>
        <w:t xml:space="preserve">CPCB — E-Waste FAQ — </w:t>
      </w:r>
      <w:r>
        <w:t>https://cpcb.nic.in/uploads/Projects/E-Waste/FAQ_ewaste_23012024.pdf</w:t>
      </w:r>
    </w:p>
    <w:p>
      <w:pPr>
        <w:pStyle w:val="ListBullet"/>
      </w:pPr>
      <w:r>
        <w:rPr>
          <w:b/>
        </w:rPr>
        <w:t xml:space="preserve">NITI Aayog — Advancing Circular Economy of E-Waste and Lithium-Ion Batteries — </w:t>
      </w:r>
      <w:r>
        <w:t>https://niti.gov.in/sites/default/files/2026-01/Advancing-Circular-Economy-of-Waste-Electronic-and-Electrical-Equipment-Ewaste-and-Lithium-Ion-Batteries-in-India.pdf</w:t>
      </w:r>
    </w:p>
    <w:p>
      <w:r>
        <w:br w:type="page"/>
      </w:r>
    </w:p>
    <w:p>
      <w:pPr>
        <w:pStyle w:val="Heading1"/>
      </w:pPr>
      <w:r>
        <w:t>5. Bengaluru—India's E-Waste Capital?</w:t>
      </w:r>
    </w:p>
    <w:p>
      <w:pPr>
        <w:pStyle w:val="Heading2"/>
      </w:pPr>
      <w:r>
        <w:t>Cover / Details</w:t>
      </w:r>
    </w:p>
    <w:p>
      <w:r>
        <w:rPr>
          <w:b/>
        </w:rPr>
        <w:t xml:space="preserve">Case-study theme: </w:t>
      </w:r>
      <w:r>
        <w:t>Bengaluru—India's E-Waste Capital?</w:t>
      </w:r>
    </w:p>
    <w:p>
      <w:r>
        <w:rPr>
          <w:b/>
        </w:rPr>
        <w:t xml:space="preserve">Primary focus: </w:t>
      </w:r>
      <w:r>
        <w:t>Waste management, recycling, e-waste governance, circular economy, institutional design and India comparison.</w:t>
      </w:r>
    </w:p>
    <w:p>
      <w:r>
        <w:rPr>
          <w:b/>
        </w:rPr>
        <w:t xml:space="preserve">Use in MSE 2: </w:t>
      </w:r>
      <w:r>
        <w:t>Use the headings and point structure directly for report answers; data points are included for evidence-based answers.</w:t>
      </w:r>
    </w:p>
    <w:p>
      <w:pPr>
        <w:pStyle w:val="Heading2"/>
      </w:pPr>
      <w:r>
        <w:t>Executive Summary</w:t>
      </w:r>
    </w:p>
    <w:p>
      <w:pPr>
        <w:pStyle w:val="ListBullet"/>
        <w:spacing w:after="80"/>
      </w:pPr>
      <w:r>
        <w:t>Bengaluru's position as a major e-waste centre is associated with its large technology sector, high concentration of electronic consumption and long-established informal recycling networks. The title 'India's E-Waste Capital?' should be treated as a case-study question rather than a formal national designation. Bengaluru illustrates both the economic value and environmental risks of dense e-waste activity.</w:t>
      </w:r>
    </w:p>
    <w:p>
      <w:pPr>
        <w:pStyle w:val="ListBullet"/>
        <w:spacing w:after="80"/>
      </w:pPr>
      <w:r>
        <w:t>Research on Bengaluru has documented a complex relationship between formal improvement schemes and informal recyclers. Informal actors contribute to urban recycling but can face exclusion when new formal systems are introduced. This means that simply building formal facilities does not automatically solve collection and livelihood issues.</w:t>
      </w:r>
    </w:p>
    <w:p>
      <w:pPr>
        <w:pStyle w:val="ListBullet"/>
        <w:spacing w:after="80"/>
      </w:pPr>
      <w:r>
        <w:t>Current policy evidence shows Karnataka has a large e-waste inventory, with a 2025 CPCB/NGT report citing an estimated 3–4 lakh tonnes per year for Karnataka. The estimate is state-level, not Bengaluru-only, so it should not be presented as the city's generation. The city case is therefore best understood through its technology-driven demand, collection networks and informal-sector role.</w:t>
      </w:r>
    </w:p>
    <w:p>
      <w:pPr>
        <w:pStyle w:val="Heading2"/>
      </w:pPr>
      <w:r>
        <w:t>Background</w:t>
      </w:r>
    </w:p>
    <w:p>
      <w:pPr>
        <w:pStyle w:val="ListBullet"/>
        <w:spacing w:after="80"/>
      </w:pPr>
      <w:r>
        <w:t>Bengaluru is one of India's major information-technology and electronics consumption centres. The growth of computers, phones, networking equipment and other electronics creates a substantial stream of end-of-life equipment. This has supported a specialized ecosystem of collectors, dismantlers, scrap traders and formal recyclers.</w:t>
      </w:r>
    </w:p>
    <w:p>
      <w:pPr>
        <w:pStyle w:val="ListBullet"/>
        <w:spacing w:after="80"/>
      </w:pPr>
      <w:r>
        <w:t>Academic research has described informal e-waste recyclers in Bangalore as important contributors to urban sustainability while also showing the social exclusion created by formalization schemes. Informal recyclers often occupy marginal positions in the waste chain. Their exclusion can shift collection rather than eliminate the underlying demand for recycling.</w:t>
      </w:r>
    </w:p>
    <w:p>
      <w:pPr>
        <w:pStyle w:val="ListBullet"/>
        <w:spacing w:after="80"/>
      </w:pPr>
      <w:r>
        <w:t>The city's challenge is therefore not simply the absence of recycling capacity. It is the coordination of collection, safe dismantling, material recovery, worker protection and producer responsibility. The case provides a useful example of how a high-tech city can simultaneously produce advanced technology and informal recycling activity.</w:t>
      </w:r>
    </w:p>
    <w:p>
      <w:pPr>
        <w:pStyle w:val="Heading2"/>
      </w:pPr>
      <w:r>
        <w:t>Strategy / Initiative</w:t>
      </w:r>
    </w:p>
    <w:p>
      <w:pPr>
        <w:pStyle w:val="ListBullet"/>
        <w:spacing w:after="80"/>
      </w:pPr>
      <w:r>
        <w:t>One strategy is to connect technology-sector institutions with authorized e-waste collection. Offices, campuses and residential communities can use scheduled take-back drives and documented recycler contracts. This creates high-quality material streams from bulk generators.</w:t>
      </w:r>
    </w:p>
    <w:p>
      <w:pPr>
        <w:pStyle w:val="ListBullet"/>
        <w:spacing w:after="80"/>
      </w:pPr>
      <w:r>
        <w:t>A second strategy is formal-informal integration. Informal collectors can be trained and registered as collection partners while hazardous dismantling is shifted to authorized facilities. This preserves their collection knowledge and reach while reducing exposure to unsafe processing.</w:t>
      </w:r>
    </w:p>
    <w:p>
      <w:pPr>
        <w:pStyle w:val="ListBullet"/>
        <w:spacing w:after="80"/>
      </w:pPr>
      <w:r>
        <w:t>A third strategy is city-level data mapping. Collection volumes, recycler capacity, hotspots and material flows can be mapped by ward. Such data can guide EPR-funded infrastructure rather than relying on generic national assumptions.</w:t>
      </w:r>
    </w:p>
    <w:p>
      <w:pPr>
        <w:pStyle w:val="Heading2"/>
      </w:pPr>
      <w:r>
        <w:t>Impact &amp; Results</w:t>
      </w:r>
    </w:p>
    <w:p>
      <w:pPr>
        <w:pStyle w:val="ListBullet"/>
        <w:spacing w:after="80"/>
      </w:pPr>
      <w:r>
        <w:t>A recent CPCB/NGT report records Karnataka's e-waste generation estimate at approximately 3–4 lakh MT per year. This is a state estimate and should not be used as a Bengaluru-specific figure. It nevertheless demonstrates the scale of the regional electronics waste challenge.</w:t>
      </w:r>
    </w:p>
    <w:p>
      <w:pPr>
        <w:pStyle w:val="ListBullet"/>
        <w:spacing w:after="80"/>
      </w:pPr>
      <w:r>
        <w:t>Academic work on Bangalore identifies informal recyclers as a meaningful part of the city's e-waste system. The research highlights how improvement schemes can unintentionally marginalize informal workers. This is an important social impact dimension of formalization.</w:t>
      </w:r>
    </w:p>
    <w:p>
      <w:pPr>
        <w:pStyle w:val="ListBullet"/>
        <w:spacing w:after="80"/>
      </w:pPr>
      <w:r>
        <w:t>NITI Aayog's 2026 report states that India's informal sector processes about 78% of total e-waste and highlights safety and recovery issues. Bengaluru is specifically among the locations where environmental contamination from informal recycling has been reported. This reinforces the need for safer processing and integration.</w:t>
      </w:r>
    </w:p>
    <w:p>
      <w:pPr>
        <w:pStyle w:val="Heading3"/>
      </w:pPr>
      <w:r>
        <w:t>Data Table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Indicator</w:t>
            </w:r>
          </w:p>
        </w:tc>
        <w:tc>
          <w:tcPr>
            <w:tcW w:type="dxa" w:w="5040"/>
            <w:vAlign w:val="center"/>
            <w:shd w:fill="D9EAF7"/>
          </w:tcPr>
          <w:p>
            <w:r/>
            <w:r>
              <w:rPr>
                <w:b/>
                <w:sz w:val="18"/>
              </w:rPr>
              <w:t>Case-study evidence / data</w:t>
            </w:r>
          </w:p>
        </w:tc>
      </w:tr>
      <w:tr>
        <w:tc>
          <w:tcPr>
            <w:tcW w:type="dxa" w:w="5040"/>
            <w:vAlign w:val="center"/>
          </w:tcPr>
          <w:p>
            <w:r/>
            <w:r>
              <w:rPr>
                <w:b w:val="0"/>
                <w:sz w:val="18"/>
              </w:rPr>
              <w:t>Karnataka estimated e-waste generation</w:t>
            </w:r>
          </w:p>
        </w:tc>
        <w:tc>
          <w:tcPr>
            <w:tcW w:type="dxa" w:w="5040"/>
            <w:vAlign w:val="center"/>
          </w:tcPr>
          <w:p>
            <w:r/>
            <w:r>
              <w:rPr>
                <w:b w:val="0"/>
                <w:sz w:val="18"/>
              </w:rPr>
              <w:t>~3–4 lakh MT/year (state-level estimate)</w:t>
            </w:r>
          </w:p>
        </w:tc>
      </w:tr>
      <w:tr>
        <w:tc>
          <w:tcPr>
            <w:tcW w:type="dxa" w:w="5040"/>
            <w:vAlign w:val="center"/>
          </w:tcPr>
          <w:p>
            <w:r/>
            <w:r>
              <w:rPr>
                <w:b w:val="0"/>
                <w:sz w:val="18"/>
              </w:rPr>
              <w:t>India informal-sector processing cited by NITI Aayog</w:t>
            </w:r>
          </w:p>
        </w:tc>
        <w:tc>
          <w:tcPr>
            <w:tcW w:type="dxa" w:w="5040"/>
            <w:vAlign w:val="center"/>
          </w:tcPr>
          <w:p>
            <w:r/>
            <w:r>
              <w:rPr>
                <w:b w:val="0"/>
                <w:sz w:val="18"/>
              </w:rPr>
              <w:t>~78% of total e-waste</w:t>
            </w:r>
          </w:p>
        </w:tc>
      </w:tr>
      <w:tr>
        <w:tc>
          <w:tcPr>
            <w:tcW w:type="dxa" w:w="5040"/>
            <w:vAlign w:val="center"/>
          </w:tcPr>
          <w:p>
            <w:r/>
            <w:r>
              <w:rPr>
                <w:b w:val="0"/>
                <w:sz w:val="18"/>
              </w:rPr>
              <w:t>Case-study ecosystem</w:t>
            </w:r>
          </w:p>
        </w:tc>
        <w:tc>
          <w:tcPr>
            <w:tcW w:type="dxa" w:w="5040"/>
            <w:vAlign w:val="center"/>
          </w:tcPr>
          <w:p>
            <w:r/>
            <w:r>
              <w:rPr>
                <w:b w:val="0"/>
                <w:sz w:val="18"/>
              </w:rPr>
              <w:t>IT/electronics consumption + collectors + informal recyclers + formal recyclers</w:t>
            </w:r>
          </w:p>
        </w:tc>
      </w:tr>
      <w:tr>
        <w:tc>
          <w:tcPr>
            <w:tcW w:type="dxa" w:w="5040"/>
            <w:vAlign w:val="center"/>
          </w:tcPr>
          <w:p>
            <w:r/>
            <w:r>
              <w:rPr>
                <w:b w:val="0"/>
                <w:sz w:val="18"/>
              </w:rPr>
              <w:t>Key geographic caution</w:t>
            </w:r>
          </w:p>
        </w:tc>
        <w:tc>
          <w:tcPr>
            <w:tcW w:type="dxa" w:w="5040"/>
            <w:vAlign w:val="center"/>
          </w:tcPr>
          <w:p>
            <w:r/>
            <w:r>
              <w:rPr>
                <w:b w:val="0"/>
                <w:sz w:val="18"/>
              </w:rPr>
              <w:t>Karnataka estimate is not a Bengaluru-only estimate</w:t>
            </w:r>
          </w:p>
        </w:tc>
      </w:tr>
    </w:tbl>
    <w:p/>
    <w:p>
      <w:pPr>
        <w:pStyle w:val="Heading2"/>
      </w:pPr>
      <w:r>
        <w:t>SWOT Analysis</w:t>
      </w:r>
    </w:p>
    <w:p>
      <w:pPr>
        <w:pStyle w:val="ListBullet"/>
        <w:spacing w:after="80"/>
      </w:pPr>
      <w:r>
        <w:t>Strength: Bengaluru has a strong technology and electronics market that creates both demand and expertise for organized e-waste services. Existing recycling networks can provide collection reach.</w:t>
      </w:r>
    </w:p>
    <w:p>
      <w:pPr>
        <w:pStyle w:val="ListBullet"/>
        <w:spacing w:after="80"/>
      </w:pPr>
      <w:r>
        <w:t>Strength: Informal recyclers have practical knowledge of collection and material markets. Their participation can increase capture rates if connected to safe formal processing.</w:t>
      </w:r>
    </w:p>
    <w:p>
      <w:pPr>
        <w:pStyle w:val="ListBullet"/>
        <w:spacing w:after="80"/>
      </w:pPr>
      <w:r>
        <w:t>Weakness: Informal processing can expose workers and the environment to hazardous substances. Fragmented collection also makes traceability difficult.</w:t>
      </w:r>
    </w:p>
    <w:p>
      <w:pPr>
        <w:pStyle w:val="ListBullet"/>
        <w:spacing w:after="80"/>
      </w:pPr>
      <w:r>
        <w:t>Opportunity: EPR funding from technology producers can support neighborhood collection and formal-informal partnerships. Bengaluru can use its technology ecosystem to build digital tracking and data systems.</w:t>
      </w:r>
    </w:p>
    <w:p>
      <w:pPr>
        <w:pStyle w:val="ListBullet"/>
        <w:spacing w:after="80"/>
      </w:pPr>
      <w:r>
        <w:t>Threat: Rapid product replacement can increase e-waste volumes faster than safe processing capacity. Exclusion of informal workers can push activity into less visible channels rather than eliminating it.</w:t>
      </w:r>
    </w:p>
    <w:p>
      <w:pPr>
        <w:pStyle w:val="Heading2"/>
      </w:pPr>
      <w:r>
        <w:t>Comparison with India</w:t>
      </w:r>
    </w:p>
    <w:p>
      <w:pPr>
        <w:pStyle w:val="ListBullet"/>
        <w:spacing w:after="80"/>
      </w:pPr>
      <w:r>
        <w:t>Bengaluru illustrates the national tension between formal EPR systems and informal collection. India needs a model that recognizes informal collectors as part of the real material-flow system. National rules can provide the compliance layer while city governments manage local collection.</w:t>
      </w:r>
    </w:p>
    <w:p>
      <w:pPr>
        <w:pStyle w:val="ListBullet"/>
        <w:spacing w:after="80"/>
      </w:pPr>
      <w:r>
        <w:t>The Bengaluru case also highlights the importance of regional concentration. Producer responsibility can be geographically targeted toward high-generation technology clusters. This can make EPR spending more efficient.</w:t>
      </w:r>
    </w:p>
    <w:p>
      <w:pPr>
        <w:pStyle w:val="ListBullet"/>
        <w:spacing w:after="80"/>
      </w:pPr>
      <w:r>
        <w:t>Compared with smaller cities, Bengaluru has stronger potential for technology-enabled tracking and corporate take-back. However, the same digital capacity should not be assumed to replace the human collection network.</w:t>
      </w:r>
    </w:p>
    <w:p>
      <w:pPr>
        <w:pStyle w:val="Heading2"/>
      </w:pPr>
      <w:r>
        <w:t>Recommendations</w:t>
      </w:r>
    </w:p>
    <w:p>
      <w:pPr>
        <w:pStyle w:val="ListBullet"/>
        <w:spacing w:after="80"/>
      </w:pPr>
      <w:r>
        <w:t>Create ward-level e-waste collection hubs linked to registered recyclers. Bulk generators such as IT companies, colleges and offices should receive scheduled pickup and digital certificates. Household collection should be available through retail and community points.</w:t>
      </w:r>
    </w:p>
    <w:p>
      <w:pPr>
        <w:pStyle w:val="ListBullet"/>
        <w:spacing w:after="80"/>
      </w:pPr>
      <w:r>
        <w:t>Develop a certification pathway for informal collectors and aggregators. Training should cover hazardous components, safe storage, fire prevention, data security and handover documentation. Registered collectors can then supply formal recyclers.</w:t>
      </w:r>
    </w:p>
    <w:p>
      <w:pPr>
        <w:pStyle w:val="ListBullet"/>
        <w:spacing w:after="80"/>
      </w:pPr>
      <w:r>
        <w:t>Use Bengaluru's technology ecosystem to build a public dashboard for collection and processing. The dashboard should distinguish collected, dismantled and recycled quantities. It should also identify gaps without publishing sensitive business data.</w:t>
      </w:r>
    </w:p>
    <w:p>
      <w:pPr>
        <w:pStyle w:val="Heading2"/>
      </w:pPr>
      <w:r>
        <w:t>Conclusion</w:t>
      </w:r>
    </w:p>
    <w:p>
      <w:pPr>
        <w:pStyle w:val="ListBullet"/>
        <w:spacing w:after="80"/>
      </w:pPr>
      <w:r>
        <w:t>Bengaluru is an important e-waste case because its technology economy generates a large and specialized waste stream. The city also shows that informal recycling can be both economically important and environmentally risky. Effective policy has to address both sides.</w:t>
      </w:r>
    </w:p>
    <w:p>
      <w:pPr>
        <w:pStyle w:val="ListBullet"/>
        <w:spacing w:after="80"/>
      </w:pPr>
      <w:r>
        <w:t>The 'capital' label is useful for discussion but should not be treated as an official national ranking. State-level data and academic evidence support the importance of the Bengaluru/Karnataka ecosystem, while city-specific generation data remain more limited.</w:t>
      </w:r>
    </w:p>
    <w:p>
      <w:pPr>
        <w:pStyle w:val="ListBullet"/>
        <w:spacing w:after="80"/>
      </w:pPr>
      <w:r>
        <w:t>The main lesson for India is integration. Formal recycling infrastructure, producer responsibility and informal collection can work together if roles, payments and safety standards are clearly defined.</w:t>
      </w:r>
    </w:p>
    <w:p>
      <w:pPr>
        <w:pStyle w:val="Heading2"/>
      </w:pPr>
      <w:r>
        <w:t>References</w:t>
      </w:r>
    </w:p>
    <w:p>
      <w:pPr>
        <w:pStyle w:val="ListBullet"/>
      </w:pPr>
      <w:r>
        <w:rPr>
          <w:b/>
        </w:rPr>
        <w:t xml:space="preserve">CPCB/NGT report — national and state e-waste status — </w:t>
      </w:r>
      <w:r>
        <w:t>https://www.greentribunal.gov.in/sites/default/files/news_updates/Report%20by%20CPCB%20in%20EA%20No.%2004%20of%202024%20IN%20OA%20No.%20512%20of%202018%20%28Shailesh%20Singh%20Vs.%20Govt.%20of%20Uttar%20Pradesh%20and%20Ors.%29.pdf</w:t>
      </w:r>
    </w:p>
    <w:p>
      <w:pPr>
        <w:pStyle w:val="ListBullet"/>
      </w:pPr>
      <w:r>
        <w:rPr>
          <w:b/>
        </w:rPr>
        <w:t xml:space="preserve">Reddy — Informal recyclers of Bangalore, Geoforum — </w:t>
      </w:r>
      <w:r>
        <w:t>https://www.sciencedirect.com/science/article/abs/pii/S0016718515000901</w:t>
      </w:r>
    </w:p>
    <w:p>
      <w:pPr>
        <w:pStyle w:val="ListBullet"/>
      </w:pPr>
      <w:r>
        <w:rPr>
          <w:b/>
        </w:rPr>
        <w:t xml:space="preserve">NITI Aayog — Circular economy of e-waste — </w:t>
      </w:r>
      <w:r>
        <w:t>https://niti.gov.in/sites/default/files/2026-01/Advancing-Circular-Economy-of-Waste-Electronic-and-Electrical-Equipment-Ewaste-and-Lithium-Ion-Batteries-in-India.pdf</w:t>
      </w:r>
    </w:p>
    <w:p>
      <w:r>
        <w:br w:type="page"/>
      </w:r>
    </w:p>
    <w:p>
      <w:pPr>
        <w:pStyle w:val="Heading1"/>
      </w:pPr>
      <w:r>
        <w:t>6. Mumbai's E-Waste Ecosystem</w:t>
      </w:r>
    </w:p>
    <w:p>
      <w:pPr>
        <w:pStyle w:val="Heading2"/>
      </w:pPr>
      <w:r>
        <w:t>Cover / Details</w:t>
      </w:r>
    </w:p>
    <w:p>
      <w:r>
        <w:rPr>
          <w:b/>
        </w:rPr>
        <w:t xml:space="preserve">Case-study theme: </w:t>
      </w:r>
      <w:r>
        <w:t>Mumbai's E-Waste Ecosystem</w:t>
      </w:r>
    </w:p>
    <w:p>
      <w:r>
        <w:rPr>
          <w:b/>
        </w:rPr>
        <w:t xml:space="preserve">Primary focus: </w:t>
      </w:r>
      <w:r>
        <w:t>Waste management, recycling, e-waste governance, circular economy, institutional design and India comparison.</w:t>
      </w:r>
    </w:p>
    <w:p>
      <w:r>
        <w:rPr>
          <w:b/>
        </w:rPr>
        <w:t xml:space="preserve">Use in MSE 2: </w:t>
      </w:r>
      <w:r>
        <w:t>Use the headings and point structure directly for report answers; data points are included for evidence-based answers.</w:t>
      </w:r>
    </w:p>
    <w:p>
      <w:pPr>
        <w:pStyle w:val="Heading2"/>
      </w:pPr>
      <w:r>
        <w:t>Executive Summary</w:t>
      </w:r>
    </w:p>
    <w:p>
      <w:pPr>
        <w:pStyle w:val="ListBullet"/>
        <w:spacing w:after="80"/>
      </w:pPr>
      <w:r>
        <w:t>Mumbai's e-waste ecosystem is shaped by high consumption, dense urban development, the wider Mumbai-Pune industrial belt and a mixture of formal and informal actors. MPCB has maintained a dedicated e-waste framework and an assessment report for the Mumbai-Pune area. The case therefore combines regulatory infrastructure with a complex city-level material market.</w:t>
      </w:r>
    </w:p>
    <w:p>
      <w:pPr>
        <w:pStyle w:val="ListBullet"/>
        <w:spacing w:after="80"/>
      </w:pPr>
      <w:r>
        <w:t>MPCB notes that the Mumbai and Pune belt generates large quantities of electrical and electronic equipment waste because of IT activity, consumer-durable consumption, manufacturing and port-related flows. The board has also maintained lists of authorized e-waste facilities and EPR procedures. These institutions provide the formal layer of the ecosystem.</w:t>
      </w:r>
    </w:p>
    <w:p>
      <w:pPr>
        <w:pStyle w:val="ListBullet"/>
        <w:spacing w:after="80"/>
      </w:pPr>
      <w:r>
        <w:t>Research on Maharashtra identifies awareness and data security as important factors affecting collection. This is particularly relevant in Mumbai because discarded phones, laptops and storage devices may contain sensitive information. Trust can therefore influence whether consumers use formal channels.</w:t>
      </w:r>
    </w:p>
    <w:p>
      <w:pPr>
        <w:pStyle w:val="Heading2"/>
      </w:pPr>
      <w:r>
        <w:t>Background</w:t>
      </w:r>
    </w:p>
    <w:p>
      <w:pPr>
        <w:pStyle w:val="ListBullet"/>
        <w:spacing w:after="80"/>
      </w:pPr>
      <w:r>
        <w:t>Mumbai is a major commercial and consumption centre with a long-established scrap and recycling economy. Its e-waste flows include household electronics, office equipment, IT equipment and industrial material. The city's density creates both a large potential collection base and logistical challenges.</w:t>
      </w:r>
    </w:p>
    <w:p>
      <w:pPr>
        <w:pStyle w:val="ListBullet"/>
        <w:spacing w:after="80"/>
      </w:pPr>
      <w:r>
        <w:t>MPCB's historical assessment of the Mumbai-Pune area reflects the region's early recognition of e-waste as a distinct waste-management issue. Today, MPCB provides information on authorized recyclers, dismantlers and refurbishers and on EPR registration under the 2022 rules. This provides a formal regulatory backbone.</w:t>
      </w:r>
    </w:p>
    <w:p>
      <w:pPr>
        <w:pStyle w:val="ListBullet"/>
        <w:spacing w:after="80"/>
      </w:pPr>
      <w:r>
        <w:t>The informal economy remains important in Mumbai's waste system. Research on Mumbai's wider waste economy shows that informal waste workers operate in interaction with formal municipal systems. For e-waste, this creates a need to connect collection reach with safe authorized processing.</w:t>
      </w:r>
    </w:p>
    <w:p>
      <w:pPr>
        <w:pStyle w:val="Heading2"/>
      </w:pPr>
      <w:r>
        <w:t>Strategy / Initiative</w:t>
      </w:r>
    </w:p>
    <w:p>
      <w:pPr>
        <w:pStyle w:val="ListBullet"/>
        <w:spacing w:after="80"/>
      </w:pPr>
      <w:r>
        <w:t>First, strengthen neighborhood-level collection so households do not have to travel far to dispose of electronics. Retailers, housing societies, colleges and offices can act as collection points. Collected material should move to authorized recyclers with documented weights.</w:t>
      </w:r>
    </w:p>
    <w:p>
      <w:pPr>
        <w:pStyle w:val="ListBullet"/>
        <w:spacing w:after="80"/>
      </w:pPr>
      <w:r>
        <w:t>Second, build trust around data security. Collection campaigns should clearly explain secure data wiping and the chain of custody for devices. Research in Maharashtra identifies data security as a crucial driver for e-waste collection.</w:t>
      </w:r>
    </w:p>
    <w:p>
      <w:pPr>
        <w:pStyle w:val="ListBullet"/>
        <w:spacing w:after="80"/>
      </w:pPr>
      <w:r>
        <w:t>Third, use EPR funding and MPCB-authorized facilities to connect producers, collectors and recyclers. A digital handover record can link producer obligations to actual collection. This can reduce the gap between city-level collection and national EPR reporting.</w:t>
      </w:r>
    </w:p>
    <w:p>
      <w:pPr>
        <w:pStyle w:val="Heading2"/>
      </w:pPr>
      <w:r>
        <w:t>Impact &amp; Results</w:t>
      </w:r>
    </w:p>
    <w:p>
      <w:pPr>
        <w:pStyle w:val="ListBullet"/>
        <w:spacing w:after="80"/>
      </w:pPr>
      <w:r>
        <w:t>MPCB states that Mumbai and Pune generate large quantities of electrical and electronic equipment waste due to IT growth, consumer-durable consumption and related industrial activity. The board maintains a historical assessment report specifically for the Mumbai-Pune area. This confirms that the region has long been treated as a significant e-waste management zone.</w:t>
      </w:r>
    </w:p>
    <w:p>
      <w:pPr>
        <w:pStyle w:val="ListBullet"/>
        <w:spacing w:after="80"/>
      </w:pPr>
      <w:r>
        <w:t>A Maharashtra case study found that lack of awareness of environmental impact was the greatest constraint on e-waste collection, while data security was the most crucial driver. The study also found that the quantity and type of e-waste mattered more than distance between processing units and collection points in the studied context. These findings suggest that collection design must address trust and awareness, not only logistics.</w:t>
      </w:r>
    </w:p>
    <w:p>
      <w:pPr>
        <w:pStyle w:val="ListBullet"/>
        <w:spacing w:after="80"/>
      </w:pPr>
      <w:r>
        <w:t>As a current institutional example, Mumbai Port Authority reports sending 25.05 MT of e-waste to authorized recyclers in FY2022-23, 17.74 MT in FY2023-24 and 6.06 MT in FY2024-25. These are only the Port Authority's own quantities and should not be interpreted as city-wide generation. They demonstrate how individual institutions can document authorized channelization.</w:t>
      </w:r>
    </w:p>
    <w:p>
      <w:pPr>
        <w:pStyle w:val="Heading3"/>
      </w:pPr>
      <w:r>
        <w:t>Data Table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Indicator</w:t>
            </w:r>
          </w:p>
        </w:tc>
        <w:tc>
          <w:tcPr>
            <w:tcW w:type="dxa" w:w="5040"/>
            <w:vAlign w:val="center"/>
            <w:shd w:fill="D9EAF7"/>
          </w:tcPr>
          <w:p>
            <w:r/>
            <w:r>
              <w:rPr>
                <w:b/>
                <w:sz w:val="18"/>
              </w:rPr>
              <w:t>Case-study evidence / data</w:t>
            </w:r>
          </w:p>
        </w:tc>
      </w:tr>
      <w:tr>
        <w:tc>
          <w:tcPr>
            <w:tcW w:type="dxa" w:w="5040"/>
            <w:vAlign w:val="center"/>
          </w:tcPr>
          <w:p>
            <w:r/>
            <w:r>
              <w:rPr>
                <w:b w:val="0"/>
                <w:sz w:val="18"/>
              </w:rPr>
              <w:t>MPCB regional focus</w:t>
            </w:r>
          </w:p>
        </w:tc>
        <w:tc>
          <w:tcPr>
            <w:tcW w:type="dxa" w:w="5040"/>
            <w:vAlign w:val="center"/>
          </w:tcPr>
          <w:p>
            <w:r/>
            <w:r>
              <w:rPr>
                <w:b w:val="0"/>
                <w:sz w:val="18"/>
              </w:rPr>
              <w:t>Mumbai-Pune e-waste assessment and authorized-facility framework</w:t>
            </w:r>
          </w:p>
        </w:tc>
      </w:tr>
      <w:tr>
        <w:tc>
          <w:tcPr>
            <w:tcW w:type="dxa" w:w="5040"/>
            <w:vAlign w:val="center"/>
          </w:tcPr>
          <w:p>
            <w:r/>
            <w:r>
              <w:rPr>
                <w:b w:val="0"/>
                <w:sz w:val="18"/>
              </w:rPr>
              <w:t>Maharashtra collection barrier identified in research</w:t>
            </w:r>
          </w:p>
        </w:tc>
        <w:tc>
          <w:tcPr>
            <w:tcW w:type="dxa" w:w="5040"/>
            <w:vAlign w:val="center"/>
          </w:tcPr>
          <w:p>
            <w:r/>
            <w:r>
              <w:rPr>
                <w:b w:val="0"/>
                <w:sz w:val="18"/>
              </w:rPr>
              <w:t>Lack of awareness of environmental impact</w:t>
            </w:r>
          </w:p>
        </w:tc>
      </w:tr>
      <w:tr>
        <w:tc>
          <w:tcPr>
            <w:tcW w:type="dxa" w:w="5040"/>
            <w:vAlign w:val="center"/>
          </w:tcPr>
          <w:p>
            <w:r/>
            <w:r>
              <w:rPr>
                <w:b w:val="0"/>
                <w:sz w:val="18"/>
              </w:rPr>
              <w:t>Key collection driver identified in research</w:t>
            </w:r>
          </w:p>
        </w:tc>
        <w:tc>
          <w:tcPr>
            <w:tcW w:type="dxa" w:w="5040"/>
            <w:vAlign w:val="center"/>
          </w:tcPr>
          <w:p>
            <w:r/>
            <w:r>
              <w:rPr>
                <w:b w:val="0"/>
                <w:sz w:val="18"/>
              </w:rPr>
              <w:t>Data security</w:t>
            </w:r>
          </w:p>
        </w:tc>
      </w:tr>
      <w:tr>
        <w:tc>
          <w:tcPr>
            <w:tcW w:type="dxa" w:w="5040"/>
            <w:vAlign w:val="center"/>
          </w:tcPr>
          <w:p>
            <w:r/>
            <w:r>
              <w:rPr>
                <w:b w:val="0"/>
                <w:sz w:val="18"/>
              </w:rPr>
              <w:t>Mumbai Port Authority e-waste sent to authorized recyclers, FY2022-23</w:t>
            </w:r>
          </w:p>
        </w:tc>
        <w:tc>
          <w:tcPr>
            <w:tcW w:type="dxa" w:w="5040"/>
            <w:vAlign w:val="center"/>
          </w:tcPr>
          <w:p>
            <w:r/>
            <w:r>
              <w:rPr>
                <w:b w:val="0"/>
                <w:sz w:val="18"/>
              </w:rPr>
              <w:t>25.05 MT</w:t>
            </w:r>
          </w:p>
        </w:tc>
      </w:tr>
      <w:tr>
        <w:tc>
          <w:tcPr>
            <w:tcW w:type="dxa" w:w="5040"/>
            <w:vAlign w:val="center"/>
          </w:tcPr>
          <w:p>
            <w:r/>
            <w:r>
              <w:rPr>
                <w:b w:val="0"/>
                <w:sz w:val="18"/>
              </w:rPr>
              <w:t>Mumbai Port Authority, FY2023-24</w:t>
            </w:r>
          </w:p>
        </w:tc>
        <w:tc>
          <w:tcPr>
            <w:tcW w:type="dxa" w:w="5040"/>
            <w:vAlign w:val="center"/>
          </w:tcPr>
          <w:p>
            <w:r/>
            <w:r>
              <w:rPr>
                <w:b w:val="0"/>
                <w:sz w:val="18"/>
              </w:rPr>
              <w:t>17.74 MT</w:t>
            </w:r>
          </w:p>
        </w:tc>
      </w:tr>
      <w:tr>
        <w:tc>
          <w:tcPr>
            <w:tcW w:type="dxa" w:w="5040"/>
            <w:vAlign w:val="center"/>
          </w:tcPr>
          <w:p>
            <w:r/>
            <w:r>
              <w:rPr>
                <w:b w:val="0"/>
                <w:sz w:val="18"/>
              </w:rPr>
              <w:t>Mumbai Port Authority, FY2024-25</w:t>
            </w:r>
          </w:p>
        </w:tc>
        <w:tc>
          <w:tcPr>
            <w:tcW w:type="dxa" w:w="5040"/>
            <w:vAlign w:val="center"/>
          </w:tcPr>
          <w:p>
            <w:r/>
            <w:r>
              <w:rPr>
                <w:b w:val="0"/>
                <w:sz w:val="18"/>
              </w:rPr>
              <w:t>6.06 MT</w:t>
            </w:r>
          </w:p>
        </w:tc>
      </w:tr>
    </w:tbl>
    <w:p/>
    <w:p>
      <w:pPr>
        <w:pStyle w:val="Heading2"/>
      </w:pPr>
      <w:r>
        <w:t>SWOT Analysis</w:t>
      </w:r>
    </w:p>
    <w:p>
      <w:pPr>
        <w:pStyle w:val="ListBullet"/>
        <w:spacing w:after="80"/>
      </w:pPr>
      <w:r>
        <w:t>Strength: Mumbai has a large consumer, corporate and institutional base that can support organized collection. It also has established scrap-market and recycling networks.</w:t>
      </w:r>
    </w:p>
    <w:p>
      <w:pPr>
        <w:pStyle w:val="ListBullet"/>
        <w:spacing w:after="80"/>
      </w:pPr>
      <w:r>
        <w:t>Strength: MPCB provides authorized-facility lists, EPR procedures and historical regional assessments. This gives the ecosystem a formal regulatory foundation.</w:t>
      </w:r>
    </w:p>
    <w:p>
      <w:pPr>
        <w:pStyle w:val="ListBullet"/>
        <w:spacing w:after="80"/>
      </w:pPr>
      <w:r>
        <w:t>Weakness: Dense urban logistics and fragmented informal collection can make traceability difficult. Household awareness and data-security concerns can also reduce formal take-back.</w:t>
      </w:r>
    </w:p>
    <w:p>
      <w:pPr>
        <w:pStyle w:val="ListBullet"/>
        <w:spacing w:after="80"/>
      </w:pPr>
      <w:r>
        <w:t>Opportunity: Housing societies, retailers, offices and educational institutions can become distributed collection nodes. EPR funding can support the logistics connecting these nodes to authorized recyclers.</w:t>
      </w:r>
    </w:p>
    <w:p>
      <w:pPr>
        <w:pStyle w:val="ListBullet"/>
        <w:spacing w:after="80"/>
      </w:pPr>
      <w:r>
        <w:t>Threat: Unsafe informal processing can expose workers and the environment to hazardous substances. Rising volumes of complex electronics can also increase the cost and technical difficulty of safe recycling.</w:t>
      </w:r>
    </w:p>
    <w:p>
      <w:pPr>
        <w:pStyle w:val="Heading2"/>
      </w:pPr>
      <w:r>
        <w:t>Comparison with India</w:t>
      </w:r>
    </w:p>
    <w:p>
      <w:pPr>
        <w:pStyle w:val="ListBullet"/>
        <w:spacing w:after="80"/>
      </w:pPr>
      <w:r>
        <w:t>Mumbai shows how national EPR rules meet a large metropolitan waste economy. The city's experience can be compared with Bengaluru's technology-driven ecosystem and Kerala's government-backed collection model. Each requires a different local operating structure under the same national rules.</w:t>
      </w:r>
    </w:p>
    <w:p>
      <w:pPr>
        <w:pStyle w:val="ListBullet"/>
        <w:spacing w:after="80"/>
      </w:pPr>
      <w:r>
        <w:t>Mumbai's informal collection network can provide reach similar to other Indian cities. The policy question is how to channel collected material into safe formal processing without eliminating livelihoods. This is a recurring national implementation issue.</w:t>
      </w:r>
    </w:p>
    <w:p>
      <w:pPr>
        <w:pStyle w:val="ListBullet"/>
        <w:spacing w:after="80"/>
      </w:pPr>
      <w:r>
        <w:t>The city's data-security issue is particularly relevant to India's expanding digital economy. Formal collection systems should treat data destruction as a service feature, not as an afterthought.</w:t>
      </w:r>
    </w:p>
    <w:p>
      <w:pPr>
        <w:pStyle w:val="Heading2"/>
      </w:pPr>
      <w:r>
        <w:t>Recommendations</w:t>
      </w:r>
    </w:p>
    <w:p>
      <w:pPr>
        <w:pStyle w:val="ListBullet"/>
        <w:spacing w:after="80"/>
      </w:pPr>
      <w:r>
        <w:t>Create a Mumbai-wide e-waste collection map covering authorized recyclers, collection points and retailer take-back locations. The map should allow residents to identify a nearby disposal option. It should also display the categories accepted at each location.</w:t>
      </w:r>
    </w:p>
    <w:p>
      <w:pPr>
        <w:pStyle w:val="ListBullet"/>
        <w:spacing w:after="80"/>
      </w:pPr>
      <w:r>
        <w:t>Introduce standardized secure-data-wiping protocols for phones, laptops and storage devices. Collection receipts should identify the device category and handover date without exposing personal information. Awareness campaigns should explicitly communicate this service.</w:t>
      </w:r>
    </w:p>
    <w:p>
      <w:pPr>
        <w:pStyle w:val="ListBullet"/>
        <w:spacing w:after="80"/>
      </w:pPr>
      <w:r>
        <w:t>Use EPR partnerships to finance scheduled collection from housing societies, colleges and offices. Collection data should be weighed and digitally recorded before transfer. This can make city-level activity visible within the national EPR system.</w:t>
      </w:r>
    </w:p>
    <w:p>
      <w:pPr>
        <w:pStyle w:val="Heading2"/>
      </w:pPr>
      <w:r>
        <w:t>Conclusion</w:t>
      </w:r>
    </w:p>
    <w:p>
      <w:pPr>
        <w:pStyle w:val="ListBullet"/>
        <w:spacing w:after="80"/>
      </w:pPr>
      <w:r>
        <w:t>Mumbai's e-waste ecosystem is a combination of formal regulation, institutional collection and informal material markets. MPCB's long-standing involvement demonstrates that the region has recognized e-waste as a specific policy issue for years. The remaining challenge is integration and traceability.</w:t>
      </w:r>
    </w:p>
    <w:p>
      <w:pPr>
        <w:pStyle w:val="ListBullet"/>
        <w:spacing w:after="80"/>
      </w:pPr>
      <w:r>
        <w:t>Research indicates that awareness and data security influence collection behavior. This means that a successful Mumbai model must address consumer trust alongside physical infrastructure.</w:t>
      </w:r>
    </w:p>
    <w:p>
      <w:pPr>
        <w:pStyle w:val="ListBullet"/>
        <w:spacing w:after="80"/>
      </w:pPr>
      <w:r>
        <w:t>The city can use its dense institutions and technology-oriented economy to build distributed collection. If those collection nodes are connected to authorized recyclers and EPR funding, the ecosystem can become more traceable and safer.</w:t>
      </w:r>
    </w:p>
    <w:p>
      <w:pPr>
        <w:pStyle w:val="Heading2"/>
      </w:pPr>
      <w:r>
        <w:t>References</w:t>
      </w:r>
    </w:p>
    <w:p>
      <w:pPr>
        <w:pStyle w:val="ListBullet"/>
      </w:pPr>
      <w:r>
        <w:rPr>
          <w:b/>
        </w:rPr>
        <w:t xml:space="preserve">MPCB — E-Waste Management — </w:t>
      </w:r>
      <w:r>
        <w:t>https://www.mpcb.gov.in/en/waste-management/electronic-waste</w:t>
      </w:r>
    </w:p>
    <w:p>
      <w:pPr>
        <w:pStyle w:val="ListBullet"/>
      </w:pPr>
      <w:r>
        <w:rPr>
          <w:b/>
        </w:rPr>
        <w:t xml:space="preserve">MPCB — Mumbai-Pune e-waste assessment — </w:t>
      </w:r>
      <w:r>
        <w:t>https://www.mpcb.gov.in/index.php/en/node/3246</w:t>
      </w:r>
    </w:p>
    <w:p>
      <w:pPr>
        <w:pStyle w:val="ListBullet"/>
      </w:pPr>
      <w:r>
        <w:rPr>
          <w:b/>
        </w:rPr>
        <w:t xml:space="preserve">Singh et al. — Circular economy potential of Maharashtra e-waste — </w:t>
      </w:r>
      <w:r>
        <w:t>https://pubmed.ncbi.nlm.nih.gov/32291638/</w:t>
      </w:r>
    </w:p>
    <w:p>
      <w:pPr>
        <w:pStyle w:val="ListBullet"/>
      </w:pPr>
      <w:r>
        <w:rPr>
          <w:b/>
        </w:rPr>
        <w:t xml:space="preserve">Mumbai Port Authority — e-waste disposal — </w:t>
      </w:r>
      <w:r>
        <w:t>https://mumbaiport.gov.in/show_content.php?lang=1&amp;level=1&amp;lid=65&amp;ls_id=825</w:t>
      </w:r>
    </w:p>
    <w:p>
      <w:r>
        <w:br w:type="page"/>
      </w:r>
    </w:p>
    <w:p>
      <w:pPr>
        <w:pStyle w:val="Heading1"/>
      </w:pPr>
      <w:r>
        <w:t>7. Kerala's Clean Kerala Company</w:t>
      </w:r>
    </w:p>
    <w:p>
      <w:pPr>
        <w:pStyle w:val="Heading2"/>
      </w:pPr>
      <w:r>
        <w:t>Cover / Details</w:t>
      </w:r>
    </w:p>
    <w:p>
      <w:r>
        <w:rPr>
          <w:b/>
        </w:rPr>
        <w:t xml:space="preserve">Case-study theme: </w:t>
      </w:r>
      <w:r>
        <w:t>Kerala's Clean Kerala Company</w:t>
      </w:r>
    </w:p>
    <w:p>
      <w:r>
        <w:rPr>
          <w:b/>
        </w:rPr>
        <w:t xml:space="preserve">Primary focus: </w:t>
      </w:r>
      <w:r>
        <w:t>Waste management, recycling, e-waste governance, circular economy, institutional design and India comparison.</w:t>
      </w:r>
    </w:p>
    <w:p>
      <w:r>
        <w:rPr>
          <w:b/>
        </w:rPr>
        <w:t xml:space="preserve">Use in MSE 2: </w:t>
      </w:r>
      <w:r>
        <w:t>Use the headings and point structure directly for report answers; data points are included for evidence-based answers.</w:t>
      </w:r>
    </w:p>
    <w:p>
      <w:pPr>
        <w:pStyle w:val="Heading2"/>
      </w:pPr>
      <w:r>
        <w:t>Executive Summary</w:t>
      </w:r>
    </w:p>
    <w:p>
      <w:pPr>
        <w:pStyle w:val="ListBullet"/>
        <w:spacing w:after="80"/>
      </w:pPr>
      <w:r>
        <w:t>Clean Kerala Company Limited (CKCL) is a government-backed institution under Kerala's Local Self Government Department that provides forward linkages for non-biodegradable waste. Its model connects local governments, Haritha Karma Sena, recycling companies and other partners. The organization therefore acts as a bridge between decentralized collection and downstream processing.</w:t>
      </w:r>
    </w:p>
    <w:p>
      <w:pPr>
        <w:pStyle w:val="ListBullet"/>
        <w:spacing w:after="80"/>
      </w:pPr>
      <w:r>
        <w:t>CKCL's official information reports that it collects e-waste and hands it to recycling companies approved by the Central and State Pollution Control Boards. Its website reports 2,678 MT of e-waste collected, while the LSGD page reports 2,265 MT at the time of its current page update. The difference should be acknowledged rather than silently reconciled because the two official pages may reflect different update dates.</w:t>
      </w:r>
    </w:p>
    <w:p>
      <w:pPr>
        <w:pStyle w:val="ListBullet"/>
        <w:spacing w:after="80"/>
      </w:pPr>
      <w:r>
        <w:t>The case is valuable because it shows a state-level institutional model rather than a single municipal project. CKCL creates a forward-linkage mechanism so that local governments can collect non-biodegradable material without having to develop every downstream recycling capability themselves. It also illustrates the importance of partnerships.</w:t>
      </w:r>
    </w:p>
    <w:p>
      <w:pPr>
        <w:pStyle w:val="Heading2"/>
      </w:pPr>
      <w:r>
        <w:t>Background</w:t>
      </w:r>
    </w:p>
    <w:p>
      <w:pPr>
        <w:pStyle w:val="ListBullet"/>
        <w:spacing w:after="80"/>
      </w:pPr>
      <w:r>
        <w:t>Kerala's waste-management system uses local self-government institutions as an important administrative layer. CKCL was created to support scientific management of non-biodegradable solid waste and to connect local bodies with downstream processors. The organization works with Haritha Karma Sena and other public and private partners.</w:t>
      </w:r>
    </w:p>
    <w:p>
      <w:pPr>
        <w:pStyle w:val="ListBullet"/>
        <w:spacing w:after="80"/>
      </w:pPr>
      <w:r>
        <w:t>CKCL's activities include segregated plastic collection, reject management, glass waste and e-waste management. For e-waste, the organization channels collected material to approved recycling companies. This separates the collection function from specialized processing.</w:t>
      </w:r>
    </w:p>
    <w:p>
      <w:pPr>
        <w:pStyle w:val="ListBullet"/>
        <w:spacing w:after="80"/>
      </w:pPr>
      <w:r>
        <w:t>The model addresses a common problem in decentralized waste management: a local body may be able to collect material but lack specialized recycling infrastructure. CKCL provides a statewide forward linkage. This can reduce the need for every local government to negotiate separately with specialized processors.</w:t>
      </w:r>
    </w:p>
    <w:p>
      <w:pPr>
        <w:pStyle w:val="Heading2"/>
      </w:pPr>
      <w:r>
        <w:t>Strategy / Initiative</w:t>
      </w:r>
    </w:p>
    <w:p>
      <w:pPr>
        <w:pStyle w:val="ListBullet"/>
        <w:spacing w:after="80"/>
      </w:pPr>
      <w:r>
        <w:t>The first strategy is institutional aggregation. Local governments and collection workers can consolidate non-biodegradable material into larger flows. Larger and more predictable volumes make downstream contracts more feasible.</w:t>
      </w:r>
    </w:p>
    <w:p>
      <w:pPr>
        <w:pStyle w:val="ListBullet"/>
        <w:spacing w:after="80"/>
      </w:pPr>
      <w:r>
        <w:t>The second strategy is regulated downstream linkage. CKCL states that e-waste is handed to recycling companies approved by CPCB and the State Pollution Control Board. This provides a formal route from collection to processing.</w:t>
      </w:r>
    </w:p>
    <w:p>
      <w:pPr>
        <w:pStyle w:val="ListBullet"/>
        <w:spacing w:after="80"/>
      </w:pPr>
      <w:r>
        <w:t>The third strategy is partnership with community-based collection workers. Haritha Karma Sena provides an established local collection network, while CKCL provides the forward linkage. This division allows local collection and specialized processing to coexist.</w:t>
      </w:r>
    </w:p>
    <w:p>
      <w:pPr>
        <w:pStyle w:val="Heading2"/>
      </w:pPr>
      <w:r>
        <w:t>Impact &amp; Results</w:t>
      </w:r>
    </w:p>
    <w:p>
      <w:pPr>
        <w:pStyle w:val="ListBullet"/>
        <w:spacing w:after="80"/>
      </w:pPr>
      <w:r>
        <w:t>CKCL's current website reports 2,678 MT of e-waste collected and 205 MT of hazardous e-waste collected. These figures are organization-level cumulative indicators, not annual statewide generation. They show the scale of material channelized through the company.</w:t>
      </w:r>
    </w:p>
    <w:p>
      <w:pPr>
        <w:pStyle w:val="ListBullet"/>
        <w:spacing w:after="80"/>
      </w:pPr>
      <w:r>
        <w:t>Kerala's LSGD page reports CKCL working with 667 rural local self-governments and 47 urban local self-governments for segregated plastic collection. The same page reports 2,265 MT of e-waste collected through CKCL. The difference between official page totals should be treated as a reporting-date or scope issue rather than assumed to be an error.</w:t>
      </w:r>
    </w:p>
    <w:p>
      <w:pPr>
        <w:pStyle w:val="ListBullet"/>
        <w:spacing w:after="80"/>
      </w:pPr>
      <w:r>
        <w:t>The model creates a structured relationship among local governments, collection workers and recycling companies. Its value therefore lies not only in tonnes collected but also in the institutional mechanism for moving material downstream. This makes it relevant to state-level replication.</w:t>
      </w:r>
    </w:p>
    <w:p>
      <w:pPr>
        <w:pStyle w:val="Heading3"/>
      </w:pPr>
      <w:r>
        <w:t>Data Table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Indicator</w:t>
            </w:r>
          </w:p>
        </w:tc>
        <w:tc>
          <w:tcPr>
            <w:tcW w:type="dxa" w:w="5040"/>
            <w:vAlign w:val="center"/>
            <w:shd w:fill="D9EAF7"/>
          </w:tcPr>
          <w:p>
            <w:r/>
            <w:r>
              <w:rPr>
                <w:b/>
                <w:sz w:val="18"/>
              </w:rPr>
              <w:t>Case-study evidence / data</w:t>
            </w:r>
          </w:p>
        </w:tc>
      </w:tr>
      <w:tr>
        <w:tc>
          <w:tcPr>
            <w:tcW w:type="dxa" w:w="5040"/>
            <w:vAlign w:val="center"/>
          </w:tcPr>
          <w:p>
            <w:r/>
            <w:r>
              <w:rPr>
                <w:b w:val="0"/>
                <w:sz w:val="18"/>
              </w:rPr>
              <w:t>CKCL website — e-waste collected</w:t>
            </w:r>
          </w:p>
        </w:tc>
        <w:tc>
          <w:tcPr>
            <w:tcW w:type="dxa" w:w="5040"/>
            <w:vAlign w:val="center"/>
          </w:tcPr>
          <w:p>
            <w:r/>
            <w:r>
              <w:rPr>
                <w:b w:val="0"/>
                <w:sz w:val="18"/>
              </w:rPr>
              <w:t>2,678 MT</w:t>
            </w:r>
          </w:p>
        </w:tc>
      </w:tr>
      <w:tr>
        <w:tc>
          <w:tcPr>
            <w:tcW w:type="dxa" w:w="5040"/>
            <w:vAlign w:val="center"/>
          </w:tcPr>
          <w:p>
            <w:r/>
            <w:r>
              <w:rPr>
                <w:b w:val="0"/>
                <w:sz w:val="18"/>
              </w:rPr>
              <w:t>CKCL website — hazardous e-waste</w:t>
            </w:r>
          </w:p>
        </w:tc>
        <w:tc>
          <w:tcPr>
            <w:tcW w:type="dxa" w:w="5040"/>
            <w:vAlign w:val="center"/>
          </w:tcPr>
          <w:p>
            <w:r/>
            <w:r>
              <w:rPr>
                <w:b w:val="0"/>
                <w:sz w:val="18"/>
              </w:rPr>
              <w:t>205 MT</w:t>
            </w:r>
          </w:p>
        </w:tc>
      </w:tr>
      <w:tr>
        <w:tc>
          <w:tcPr>
            <w:tcW w:type="dxa" w:w="5040"/>
            <w:vAlign w:val="center"/>
          </w:tcPr>
          <w:p>
            <w:r/>
            <w:r>
              <w:rPr>
                <w:b w:val="0"/>
                <w:sz w:val="18"/>
              </w:rPr>
              <w:t>Kerala LSGD page — e-waste collected</w:t>
            </w:r>
          </w:p>
        </w:tc>
        <w:tc>
          <w:tcPr>
            <w:tcW w:type="dxa" w:w="5040"/>
            <w:vAlign w:val="center"/>
          </w:tcPr>
          <w:p>
            <w:r/>
            <w:r>
              <w:rPr>
                <w:b w:val="0"/>
                <w:sz w:val="18"/>
              </w:rPr>
              <w:t>2,265 MT</w:t>
            </w:r>
          </w:p>
        </w:tc>
      </w:tr>
      <w:tr>
        <w:tc>
          <w:tcPr>
            <w:tcW w:type="dxa" w:w="5040"/>
            <w:vAlign w:val="center"/>
          </w:tcPr>
          <w:p>
            <w:r/>
            <w:r>
              <w:rPr>
                <w:b w:val="0"/>
                <w:sz w:val="18"/>
              </w:rPr>
              <w:t>Local governments associated with CKCL for segregated plastic collection</w:t>
            </w:r>
          </w:p>
        </w:tc>
        <w:tc>
          <w:tcPr>
            <w:tcW w:type="dxa" w:w="5040"/>
            <w:vAlign w:val="center"/>
          </w:tcPr>
          <w:p>
            <w:r/>
            <w:r>
              <w:rPr>
                <w:b w:val="0"/>
                <w:sz w:val="18"/>
              </w:rPr>
              <w:t>667 rural + 47 urban</w:t>
            </w:r>
          </w:p>
        </w:tc>
      </w:tr>
      <w:tr>
        <w:tc>
          <w:tcPr>
            <w:tcW w:type="dxa" w:w="5040"/>
            <w:vAlign w:val="center"/>
          </w:tcPr>
          <w:p>
            <w:r/>
            <w:r>
              <w:rPr>
                <w:b w:val="0"/>
                <w:sz w:val="18"/>
              </w:rPr>
              <w:t>Downstream e-waste route</w:t>
            </w:r>
          </w:p>
        </w:tc>
        <w:tc>
          <w:tcPr>
            <w:tcW w:type="dxa" w:w="5040"/>
            <w:vAlign w:val="center"/>
          </w:tcPr>
          <w:p>
            <w:r/>
            <w:r>
              <w:rPr>
                <w:b w:val="0"/>
                <w:sz w:val="18"/>
              </w:rPr>
              <w:t>Approved e-waste recycling companies</w:t>
            </w:r>
          </w:p>
        </w:tc>
      </w:tr>
    </w:tbl>
    <w:p/>
    <w:p>
      <w:pPr>
        <w:pStyle w:val="Heading2"/>
      </w:pPr>
      <w:r>
        <w:t>SWOT Analysis</w:t>
      </w:r>
    </w:p>
    <w:p>
      <w:pPr>
        <w:pStyle w:val="ListBullet"/>
        <w:spacing w:after="80"/>
      </w:pPr>
      <w:r>
        <w:t>Strength: CKCL provides a statewide institutional bridge between decentralized collection and specialized processing. This reduces fragmentation between local governments and recyclers.</w:t>
      </w:r>
    </w:p>
    <w:p>
      <w:pPr>
        <w:pStyle w:val="ListBullet"/>
        <w:spacing w:after="80"/>
      </w:pPr>
      <w:r>
        <w:t>Strength: The model works with local collection networks such as Haritha Karma Sena. This gives it community-level reach rather than relying only on centralized drop-off facilities.</w:t>
      </w:r>
    </w:p>
    <w:p>
      <w:pPr>
        <w:pStyle w:val="ListBullet"/>
        <w:spacing w:after="80"/>
      </w:pPr>
      <w:r>
        <w:t>Weakness: Reported quantities differ across CKCL and LSGD webpages, showing the need for clear reporting dates and definitions. Statewide coordination also requires sustained logistics and working capital.</w:t>
      </w:r>
    </w:p>
    <w:p>
      <w:pPr>
        <w:pStyle w:val="ListBullet"/>
        <w:spacing w:after="80"/>
      </w:pPr>
      <w:r>
        <w:t>Opportunity: The same forward-linkage model can be expanded for batteries, small electronics and other emerging waste streams. Digital tracking can strengthen evidence of downstream processing.</w:t>
      </w:r>
    </w:p>
    <w:p>
      <w:pPr>
        <w:pStyle w:val="ListBullet"/>
        <w:spacing w:after="80"/>
      </w:pPr>
      <w:r>
        <w:t>Threat: If collection increases faster than authorized processing capacity, temporary storage and logistics can become bottlenecks. Commodity-price fluctuations can also affect recycler demand.</w:t>
      </w:r>
    </w:p>
    <w:p>
      <w:pPr>
        <w:pStyle w:val="Heading2"/>
      </w:pPr>
      <w:r>
        <w:t>Comparison with India</w:t>
      </w:r>
    </w:p>
    <w:p>
      <w:pPr>
        <w:pStyle w:val="ListBullet"/>
        <w:spacing w:after="80"/>
      </w:pPr>
      <w:r>
        <w:t>Kerala's model complements India's EPR rules by providing a physical collection and aggregation mechanism. The national rules create producer obligations, while CKCL demonstrates how a state institution can organize local-government linkages. This division of roles is useful for other states.</w:t>
      </w:r>
    </w:p>
    <w:p>
      <w:pPr>
        <w:pStyle w:val="ListBullet"/>
        <w:spacing w:after="80"/>
      </w:pPr>
      <w:r>
        <w:t>Compared with informal-only systems, CKCL provides a formal institutional route to approved processors. However, informal collectors can still be relevant for difficult-to-reach material. Integration rather than exclusion can increase coverage.</w:t>
      </w:r>
    </w:p>
    <w:p>
      <w:pPr>
        <w:pStyle w:val="ListBullet"/>
        <w:spacing w:after="80"/>
      </w:pPr>
      <w:r>
        <w:t>The model is especially useful for states with strong local-government structures. It shows that state-level aggregation can reduce fragmentation without centralizing every collection activity.</w:t>
      </w:r>
    </w:p>
    <w:p>
      <w:pPr>
        <w:pStyle w:val="Heading2"/>
      </w:pPr>
      <w:r>
        <w:t>Recommendations</w:t>
      </w:r>
    </w:p>
    <w:p>
      <w:pPr>
        <w:pStyle w:val="ListBullet"/>
        <w:spacing w:after="80"/>
      </w:pPr>
      <w:r>
        <w:t>CKCL-style state-level aggregation agencies should maintain a live digital manifest for e-waste collected, stored, transported and delivered to recyclers. Each batch can have a unique identification number. This would strengthen EPR evidence and auditability.</w:t>
      </w:r>
    </w:p>
    <w:p>
      <w:pPr>
        <w:pStyle w:val="ListBullet"/>
        <w:spacing w:after="80"/>
      </w:pPr>
      <w:r>
        <w:t>Expand collection beyond large devices to small electronics and batteries. Collection points should be placed at local-government offices, community facilities, schools and retail locations. Awareness campaigns should explain safe disposal.</w:t>
      </w:r>
    </w:p>
    <w:p>
      <w:pPr>
        <w:pStyle w:val="ListBullet"/>
        <w:spacing w:after="80"/>
      </w:pPr>
      <w:r>
        <w:t>Create standardized reporting definitions for cumulative and annual quantities. Official dashboards should display the reporting period and scope for each metric. This would prevent confusion when different government pages show different totals.</w:t>
      </w:r>
    </w:p>
    <w:p>
      <w:pPr>
        <w:pStyle w:val="Heading2"/>
      </w:pPr>
      <w:r>
        <w:t>Conclusion</w:t>
      </w:r>
    </w:p>
    <w:p>
      <w:pPr>
        <w:pStyle w:val="ListBullet"/>
        <w:spacing w:after="80"/>
      </w:pPr>
      <w:r>
        <w:t>Clean Kerala Company demonstrates how a public institution can solve the 'last-mile to recycler' problem at scale. Its role is not simply collection; it creates forward linkages between local governments and specialized processors. This makes it a useful organizational case study.</w:t>
      </w:r>
    </w:p>
    <w:p>
      <w:pPr>
        <w:pStyle w:val="ListBullet"/>
        <w:spacing w:after="80"/>
      </w:pPr>
      <w:r>
        <w:t>The model also shows the importance of partnerships. Local governments and collection workers provide access to waste, while approved recyclers provide technical processing. CKCL coordinates the interface.</w:t>
      </w:r>
    </w:p>
    <w:p>
      <w:pPr>
        <w:pStyle w:val="ListBullet"/>
        <w:spacing w:after="80"/>
      </w:pPr>
      <w:r>
        <w:t>For India, the transferable lesson is a hub-and-spoke institutional model. States can create or strengthen aggregation mechanisms while retaining decentralized collection.</w:t>
      </w:r>
    </w:p>
    <w:p>
      <w:pPr>
        <w:pStyle w:val="Heading2"/>
      </w:pPr>
      <w:r>
        <w:t>References</w:t>
      </w:r>
    </w:p>
    <w:p>
      <w:pPr>
        <w:pStyle w:val="ListBullet"/>
      </w:pPr>
      <w:r>
        <w:rPr>
          <w:b/>
        </w:rPr>
        <w:t xml:space="preserve">Clean Kerala Company — official site — </w:t>
      </w:r>
      <w:r>
        <w:t>https://cleankeralacompany.com/</w:t>
      </w:r>
    </w:p>
    <w:p>
      <w:pPr>
        <w:pStyle w:val="ListBullet"/>
      </w:pPr>
      <w:r>
        <w:rPr>
          <w:b/>
        </w:rPr>
        <w:t xml:space="preserve">Kerala LSGD — Clean Kerala Company — </w:t>
      </w:r>
      <w:r>
        <w:t>https://lsgd.kerala.gov.in/en/about-the-department/aligned-institutions/ckcl/</w:t>
      </w:r>
    </w:p>
    <w:p>
      <w:pPr>
        <w:pStyle w:val="ListBullet"/>
      </w:pPr>
      <w:r>
        <w:rPr>
          <w:b/>
        </w:rPr>
        <w:t xml:space="preserve">Kerala LSGD — CKCL waste-management functions — </w:t>
      </w:r>
      <w:r>
        <w:t>https://lsgd.kerala.gov.in/en/waste-management/supporting-institutions/ckcl/</w:t>
      </w:r>
    </w:p>
    <w:p>
      <w:r>
        <w:br w:type="page"/>
      </w:r>
    </w:p>
    <w:p>
      <w:pPr>
        <w:pStyle w:val="Heading1"/>
      </w:pPr>
      <w:r>
        <w:t>8. Pune's SWaCH Model</w:t>
      </w:r>
    </w:p>
    <w:p>
      <w:pPr>
        <w:pStyle w:val="Heading2"/>
      </w:pPr>
      <w:r>
        <w:t>Cover / Details</w:t>
      </w:r>
    </w:p>
    <w:p>
      <w:r>
        <w:rPr>
          <w:b/>
        </w:rPr>
        <w:t xml:space="preserve">Case-study theme: </w:t>
      </w:r>
      <w:r>
        <w:t>Pune's SWaCH Model</w:t>
      </w:r>
    </w:p>
    <w:p>
      <w:r>
        <w:rPr>
          <w:b/>
        </w:rPr>
        <w:t xml:space="preserve">Primary focus: </w:t>
      </w:r>
      <w:r>
        <w:t>Waste management, recycling, e-waste governance, circular economy, institutional design and India comparison.</w:t>
      </w:r>
    </w:p>
    <w:p>
      <w:r>
        <w:rPr>
          <w:b/>
        </w:rPr>
        <w:t xml:space="preserve">Use in MSE 2: </w:t>
      </w:r>
      <w:r>
        <w:t>Use the headings and point structure directly for report answers; data points are included for evidence-based answers.</w:t>
      </w:r>
    </w:p>
    <w:p>
      <w:pPr>
        <w:pStyle w:val="Heading2"/>
      </w:pPr>
      <w:r>
        <w:t>Executive Summary</w:t>
      </w:r>
    </w:p>
    <w:p>
      <w:pPr>
        <w:pStyle w:val="ListBullet"/>
        <w:spacing w:after="80"/>
      </w:pPr>
      <w:r>
        <w:t>SWaCH is a cooperative model of waste pickers and waste collectors in Pune that connects door-to-door collection with material recovery. The model is built around the participation of waste pickers rather than treating them only as informal actors outside the municipal system. It demonstrates how livelihoods and waste recovery can be incorporated into urban service delivery.</w:t>
      </w:r>
    </w:p>
    <w:p>
      <w:pPr>
        <w:pStyle w:val="ListBullet"/>
        <w:spacing w:after="80"/>
      </w:pPr>
      <w:r>
        <w:t>NIUA's solid-waste-management training module reports that SWaCH provided door-to-door collection to about 6.42 lakh households, or 60% of Pune's households, with 2,688 waste pickers involved. It also reports 3.5 lakh MT of waste handled annually in the cited case-study snapshot. These figures are from the source's stated period and should be labeled accordingly.</w:t>
      </w:r>
    </w:p>
    <w:p>
      <w:pPr>
        <w:pStyle w:val="ListBullet"/>
        <w:spacing w:after="80"/>
      </w:pPr>
      <w:r>
        <w:t>The model's flow includes source-segregated collection, material recovery, sorting and sale of recyclables, with organic waste directed to composting or biomethanation where applicable. Waste pickers can retain income from recyclable materials. This creates an economic incentive for recovery while providing a municipal service.</w:t>
      </w:r>
    </w:p>
    <w:p>
      <w:pPr>
        <w:pStyle w:val="Heading2"/>
      </w:pPr>
      <w:r>
        <w:t>Background</w:t>
      </w:r>
    </w:p>
    <w:p>
      <w:pPr>
        <w:pStyle w:val="ListBullet"/>
        <w:spacing w:after="80"/>
      </w:pPr>
      <w:r>
        <w:t>Pune has a long history of organized waste-picker participation in municipal solid waste management. SWaCH emerged as a cooperative structure that gives waste pickers an organized role in door-to-door collection. The model addresses both service delivery and worker livelihood.</w:t>
      </w:r>
    </w:p>
    <w:p>
      <w:pPr>
        <w:pStyle w:val="ListBullet"/>
        <w:spacing w:after="80"/>
      </w:pPr>
      <w:r>
        <w:t>Source segregation is important because collectors can recover clean paper, plastic, glass and other recyclables more efficiently. Material recovery centres and downstream scrap markets form part of the operating chain. The cooperative structure provides a formal interface with the municipality.</w:t>
      </w:r>
    </w:p>
    <w:p>
      <w:pPr>
        <w:pStyle w:val="ListBullet"/>
        <w:spacing w:after="80"/>
      </w:pPr>
      <w:r>
        <w:t>The model is different from a purely centralized municipal collection system. Instead of viewing waste pickers as a residual informal workforce, it recognizes their collection service and economic contribution. This creates a partnership model.</w:t>
      </w:r>
    </w:p>
    <w:p>
      <w:pPr>
        <w:pStyle w:val="Heading2"/>
      </w:pPr>
      <w:r>
        <w:t>Strategy / Initiative</w:t>
      </w:r>
    </w:p>
    <w:p>
      <w:pPr>
        <w:pStyle w:val="ListBullet"/>
        <w:spacing w:after="80"/>
      </w:pPr>
      <w:r>
        <w:t>The first strategy is door-to-door collection using organized waste pickers. Households receive a regular service, and collectors develop predictable collection routes. This improves the interface between residents and waste recovery.</w:t>
      </w:r>
    </w:p>
    <w:p>
      <w:pPr>
        <w:pStyle w:val="ListBullet"/>
        <w:spacing w:after="80"/>
      </w:pPr>
      <w:r>
        <w:t>The second strategy is economic recovery through sorting and sale of recyclables. Waste pickers can retain income from the sale of recovered material, creating an incentive to maximize segregation and recovery. The model therefore links environmental performance with livelihoods.</w:t>
      </w:r>
    </w:p>
    <w:p>
      <w:pPr>
        <w:pStyle w:val="ListBullet"/>
        <w:spacing w:after="80"/>
      </w:pPr>
      <w:r>
        <w:t>The third strategy is integration with municipal waste infrastructure. SWaCH collection feeds into material recovery and downstream processing while the municipality remains responsible for broader system functions. This partnership reduces duplication.</w:t>
      </w:r>
    </w:p>
    <w:p>
      <w:pPr>
        <w:pStyle w:val="Heading2"/>
      </w:pPr>
      <w:r>
        <w:t>Impact &amp; Results</w:t>
      </w:r>
    </w:p>
    <w:p>
      <w:pPr>
        <w:pStyle w:val="ListBullet"/>
        <w:spacing w:after="80"/>
      </w:pPr>
      <w:r>
        <w:t>NIUA reports door-to-door collection coverage of 6.42 lakh households, approximately 60% of Pune's total households, in the case-study snapshot. It also reports 2,688 waste pickers involved in collection and local processing services. These figures demonstrate the scale of organized waste-picker participation.</w:t>
      </w:r>
    </w:p>
    <w:p>
      <w:pPr>
        <w:pStyle w:val="ListBullet"/>
        <w:spacing w:after="80"/>
      </w:pPr>
      <w:r>
        <w:t>The same source reports approximately 3.5 lakh MT of waste handled annually. It describes source-segregated material moving to material recovery centres, composting or biomethanation units and recycling markets. The flow demonstrates how collection can be connected to different treatment routes.</w:t>
      </w:r>
    </w:p>
    <w:p>
      <w:pPr>
        <w:pStyle w:val="ListBullet"/>
        <w:spacing w:after="80"/>
      </w:pPr>
      <w:r>
        <w:t>The model also creates livelihood value because collectors can retain income from recyclable materials. This is an important social dimension of waste management. It suggests that formalization can be designed around worker participation rather than only around infrastructure.</w:t>
      </w:r>
    </w:p>
    <w:p>
      <w:pPr>
        <w:pStyle w:val="Heading3"/>
      </w:pPr>
      <w:r>
        <w:t>Data Table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Indicator</w:t>
            </w:r>
          </w:p>
        </w:tc>
        <w:tc>
          <w:tcPr>
            <w:tcW w:type="dxa" w:w="5040"/>
            <w:vAlign w:val="center"/>
            <w:shd w:fill="D9EAF7"/>
          </w:tcPr>
          <w:p>
            <w:r/>
            <w:r>
              <w:rPr>
                <w:b/>
                <w:sz w:val="18"/>
              </w:rPr>
              <w:t>Case-study evidence / data</w:t>
            </w:r>
          </w:p>
        </w:tc>
      </w:tr>
      <w:tr>
        <w:tc>
          <w:tcPr>
            <w:tcW w:type="dxa" w:w="5040"/>
            <w:vAlign w:val="center"/>
          </w:tcPr>
          <w:p>
            <w:r/>
            <w:r>
              <w:rPr>
                <w:b w:val="0"/>
                <w:sz w:val="18"/>
              </w:rPr>
              <w:t>Households covered in cited SWaCH case study</w:t>
            </w:r>
          </w:p>
        </w:tc>
        <w:tc>
          <w:tcPr>
            <w:tcW w:type="dxa" w:w="5040"/>
            <w:vAlign w:val="center"/>
          </w:tcPr>
          <w:p>
            <w:r/>
            <w:r>
              <w:rPr>
                <w:b w:val="0"/>
                <w:sz w:val="18"/>
              </w:rPr>
              <w:t>6.42 lakh</w:t>
            </w:r>
          </w:p>
        </w:tc>
      </w:tr>
      <w:tr>
        <w:tc>
          <w:tcPr>
            <w:tcW w:type="dxa" w:w="5040"/>
            <w:vAlign w:val="center"/>
          </w:tcPr>
          <w:p>
            <w:r/>
            <w:r>
              <w:rPr>
                <w:b w:val="0"/>
                <w:sz w:val="18"/>
              </w:rPr>
              <w:t>Share of PMC households covered in cited snapshot</w:t>
            </w:r>
          </w:p>
        </w:tc>
        <w:tc>
          <w:tcPr>
            <w:tcW w:type="dxa" w:w="5040"/>
            <w:vAlign w:val="center"/>
          </w:tcPr>
          <w:p>
            <w:r/>
            <w:r>
              <w:rPr>
                <w:b w:val="0"/>
                <w:sz w:val="18"/>
              </w:rPr>
              <w:t>60%</w:t>
            </w:r>
          </w:p>
        </w:tc>
      </w:tr>
      <w:tr>
        <w:tc>
          <w:tcPr>
            <w:tcW w:type="dxa" w:w="5040"/>
            <w:vAlign w:val="center"/>
          </w:tcPr>
          <w:p>
            <w:r/>
            <w:r>
              <w:rPr>
                <w:b w:val="0"/>
                <w:sz w:val="18"/>
              </w:rPr>
              <w:t>Waste pickers involved</w:t>
            </w:r>
          </w:p>
        </w:tc>
        <w:tc>
          <w:tcPr>
            <w:tcW w:type="dxa" w:w="5040"/>
            <w:vAlign w:val="center"/>
          </w:tcPr>
          <w:p>
            <w:r/>
            <w:r>
              <w:rPr>
                <w:b w:val="0"/>
                <w:sz w:val="18"/>
              </w:rPr>
              <w:t>2,688</w:t>
            </w:r>
          </w:p>
        </w:tc>
      </w:tr>
      <w:tr>
        <w:tc>
          <w:tcPr>
            <w:tcW w:type="dxa" w:w="5040"/>
            <w:vAlign w:val="center"/>
          </w:tcPr>
          <w:p>
            <w:r/>
            <w:r>
              <w:rPr>
                <w:b w:val="0"/>
                <w:sz w:val="18"/>
              </w:rPr>
              <w:t>Waste handled annually in cited case study</w:t>
            </w:r>
          </w:p>
        </w:tc>
        <w:tc>
          <w:tcPr>
            <w:tcW w:type="dxa" w:w="5040"/>
            <w:vAlign w:val="center"/>
          </w:tcPr>
          <w:p>
            <w:r/>
            <w:r>
              <w:rPr>
                <w:b w:val="0"/>
                <w:sz w:val="18"/>
              </w:rPr>
              <w:t>3.5 lakh MT</w:t>
            </w:r>
          </w:p>
        </w:tc>
      </w:tr>
      <w:tr>
        <w:tc>
          <w:tcPr>
            <w:tcW w:type="dxa" w:w="5040"/>
            <w:vAlign w:val="center"/>
          </w:tcPr>
          <w:p>
            <w:r/>
            <w:r>
              <w:rPr>
                <w:b w:val="0"/>
                <w:sz w:val="18"/>
              </w:rPr>
              <w:t>Core material-recovery mechanism</w:t>
            </w:r>
          </w:p>
        </w:tc>
        <w:tc>
          <w:tcPr>
            <w:tcW w:type="dxa" w:w="5040"/>
            <w:vAlign w:val="center"/>
          </w:tcPr>
          <w:p>
            <w:r/>
            <w:r>
              <w:rPr>
                <w:b w:val="0"/>
                <w:sz w:val="18"/>
              </w:rPr>
              <w:t>Door-to-door collection + sorting + recycling markets</w:t>
            </w:r>
          </w:p>
        </w:tc>
      </w:tr>
    </w:tbl>
    <w:p/>
    <w:p>
      <w:pPr>
        <w:pStyle w:val="Heading2"/>
      </w:pPr>
      <w:r>
        <w:t>SWOT Analysis</w:t>
      </w:r>
    </w:p>
    <w:p>
      <w:pPr>
        <w:pStyle w:val="ListBullet"/>
        <w:spacing w:after="80"/>
      </w:pPr>
      <w:r>
        <w:t>Strength: SWaCH integrates waste pickers into an organized collection service. This combines existing collection knowledge with municipal coordination.</w:t>
      </w:r>
    </w:p>
    <w:p>
      <w:pPr>
        <w:pStyle w:val="ListBullet"/>
        <w:spacing w:after="80"/>
      </w:pPr>
      <w:r>
        <w:t>Strength: The model creates an economic incentive for recyclable recovery. Source segregation improves the quality of material available for sale and recycling.</w:t>
      </w:r>
    </w:p>
    <w:p>
      <w:pPr>
        <w:pStyle w:val="ListBullet"/>
        <w:spacing w:after="80"/>
      </w:pPr>
      <w:r>
        <w:t>Weakness: Coverage is not automatically universal and depends on household participation and service arrangements. The system also needs downstream capacity for rejects and non-recyclables.</w:t>
      </w:r>
    </w:p>
    <w:p>
      <w:pPr>
        <w:pStyle w:val="ListBullet"/>
        <w:spacing w:after="80"/>
      </w:pPr>
      <w:r>
        <w:t>Opportunity: The model can be adapted for e-waste collection by training collectors to identify electronics and route them to authorized recyclers. EPR funding could support specialized collection services.</w:t>
      </w:r>
    </w:p>
    <w:p>
      <w:pPr>
        <w:pStyle w:val="ListBullet"/>
        <w:spacing w:after="80"/>
      </w:pPr>
      <w:r>
        <w:t>Threat: Changes in recyclable commodity prices can affect worker income. Poor segregation by households can also reduce recovery efficiency.</w:t>
      </w:r>
    </w:p>
    <w:p>
      <w:pPr>
        <w:pStyle w:val="Heading2"/>
      </w:pPr>
      <w:r>
        <w:t>Comparison with India</w:t>
      </w:r>
    </w:p>
    <w:p>
      <w:pPr>
        <w:pStyle w:val="ListBullet"/>
        <w:spacing w:after="80"/>
      </w:pPr>
      <w:r>
        <w:t>SWaCH demonstrates a model that can complement the national EPR system. EPR provides producer responsibility, while cooperative collectors provide last-mile access. This combination is relevant to e-waste and other special waste streams.</w:t>
      </w:r>
    </w:p>
    <w:p>
      <w:pPr>
        <w:pStyle w:val="ListBullet"/>
        <w:spacing w:after="80"/>
      </w:pPr>
      <w:r>
        <w:t>India's informal waste-picker network is extensive, so cooperative integration can be more practical than building entirely new collection systems. However, hazardous e-waste requires additional training and safe handling protocols. The SWaCH principle should therefore be adapted rather than copied without modification.</w:t>
      </w:r>
    </w:p>
    <w:p>
      <w:pPr>
        <w:pStyle w:val="ListBullet"/>
        <w:spacing w:after="80"/>
      </w:pPr>
      <w:r>
        <w:t>The model also highlights the importance of livelihood outcomes. Waste-management policies should measure service coverage and material recovery alongside worker income and social protection.</w:t>
      </w:r>
    </w:p>
    <w:p>
      <w:pPr>
        <w:pStyle w:val="Heading2"/>
      </w:pPr>
      <w:r>
        <w:t>Recommendations</w:t>
      </w:r>
    </w:p>
    <w:p>
      <w:pPr>
        <w:pStyle w:val="ListBullet"/>
        <w:spacing w:after="80"/>
      </w:pPr>
      <w:r>
        <w:t>Develop an e-waste collection module within waste-picker cooperatives. Collectors should receive training on identifying covered electronics, safe storage and battery/fire risks. Hazardous dismantling should remain with authorized facilities.</w:t>
      </w:r>
    </w:p>
    <w:p>
      <w:pPr>
        <w:pStyle w:val="ListBullet"/>
        <w:spacing w:after="80"/>
      </w:pPr>
      <w:r>
        <w:t>Use EPR funds to pay cooperative collectors for documented e-waste collection. Payment can be based on verified weight and category rather than only on recyclable scrap value. This creates a stable incentive even when commodity prices fluctuate.</w:t>
      </w:r>
    </w:p>
    <w:p>
      <w:pPr>
        <w:pStyle w:val="ListBullet"/>
        <w:spacing w:after="80"/>
      </w:pPr>
      <w:r>
        <w:t>Expand digital records for collection routes and material handover. Households and institutions can receive a receipt showing that e-waste was transferred to an authorized recycler. Such records can support both transparency and EPR compliance.</w:t>
      </w:r>
    </w:p>
    <w:p>
      <w:pPr>
        <w:pStyle w:val="Heading2"/>
      </w:pPr>
      <w:r>
        <w:t>Conclusion</w:t>
      </w:r>
    </w:p>
    <w:p>
      <w:pPr>
        <w:pStyle w:val="ListBullet"/>
        <w:spacing w:after="80"/>
      </w:pPr>
      <w:r>
        <w:t>SWaCH demonstrates that waste management can combine public service delivery with organized livelihoods. The cooperative model gives waste pickers a recognized role in collection and recovery. Its strength lies in connecting social and environmental objectives.</w:t>
      </w:r>
    </w:p>
    <w:p>
      <w:pPr>
        <w:pStyle w:val="ListBullet"/>
        <w:spacing w:after="80"/>
      </w:pPr>
      <w:r>
        <w:t>The case is especially useful for India because informal waste workers already form a major part of collection systems. Integrating them can improve reach while reducing the social disruption of formalization. E-waste adaptation would require additional safety controls.</w:t>
      </w:r>
    </w:p>
    <w:p>
      <w:pPr>
        <w:pStyle w:val="ListBullet"/>
        <w:spacing w:after="80"/>
      </w:pPr>
      <w:r>
        <w:t>The broader lesson is that circular economy systems need people as well as technology. Organized collection, fair incentives and reliable downstream markets can make recycling more practical.</w:t>
      </w:r>
    </w:p>
    <w:p>
      <w:pPr>
        <w:pStyle w:val="Heading2"/>
      </w:pPr>
      <w:r>
        <w:t>References</w:t>
      </w:r>
    </w:p>
    <w:p>
      <w:pPr>
        <w:pStyle w:val="ListBullet"/>
      </w:pPr>
      <w:r>
        <w:rPr>
          <w:b/>
        </w:rPr>
        <w:t xml:space="preserve">NIUA — Training Module on Solid Waste Management, SWaCH case study — </w:t>
      </w:r>
      <w:r>
        <w:t>https://niua.in/resources-and-waste/sites/default/files/2022-04/Training_Module_on_Solid_Waste_Management.pdf</w:t>
      </w:r>
    </w:p>
    <w:p>
      <w:pPr>
        <w:pStyle w:val="ListBullet"/>
      </w:pPr>
      <w:r>
        <w:rPr>
          <w:b/>
        </w:rPr>
        <w:t xml:space="preserve">SWaCH Cooperative — official site — </w:t>
      </w:r>
      <w:r>
        <w:t>https://swachcoop.com/</w:t>
      </w:r>
    </w:p>
    <w:p>
      <w:r>
        <w:br w:type="page"/>
      </w:r>
    </w:p>
    <w:p>
      <w:pPr>
        <w:pStyle w:val="Heading1"/>
      </w:pPr>
      <w:r>
        <w:t>9. Dharavi Recycling Ecosystem</w:t>
      </w:r>
    </w:p>
    <w:p>
      <w:pPr>
        <w:pStyle w:val="Heading2"/>
      </w:pPr>
      <w:r>
        <w:t>Cover / Details</w:t>
      </w:r>
    </w:p>
    <w:p>
      <w:r>
        <w:rPr>
          <w:b/>
        </w:rPr>
        <w:t xml:space="preserve">Case-study theme: </w:t>
      </w:r>
      <w:r>
        <w:t>Dharavi Recycling Ecosystem</w:t>
      </w:r>
    </w:p>
    <w:p>
      <w:r>
        <w:rPr>
          <w:b/>
        </w:rPr>
        <w:t xml:space="preserve">Primary focus: </w:t>
      </w:r>
      <w:r>
        <w:t>Waste management, recycling, e-waste governance, circular economy, institutional design and India comparison.</w:t>
      </w:r>
    </w:p>
    <w:p>
      <w:r>
        <w:rPr>
          <w:b/>
        </w:rPr>
        <w:t xml:space="preserve">Use in MSE 2: </w:t>
      </w:r>
      <w:r>
        <w:t>Use the headings and point structure directly for report answers; data points are included for evidence-based answers.</w:t>
      </w:r>
    </w:p>
    <w:p>
      <w:pPr>
        <w:pStyle w:val="Heading2"/>
      </w:pPr>
      <w:r>
        <w:t>Executive Summary</w:t>
      </w:r>
    </w:p>
    <w:p>
      <w:pPr>
        <w:pStyle w:val="ListBullet"/>
        <w:spacing w:after="80"/>
      </w:pPr>
      <w:r>
        <w:t>Dharavi is a major informal economic ecosystem in Mumbai in which recycling and material recovery have historically been important activities. The recycling economy includes waste pickers, kabadiwalas, transporters, sorters, brokers, dealers and small remanufacturing enterprises. Its importance comes from the dense network connecting discarded materials to markets.</w:t>
      </w:r>
    </w:p>
    <w:p>
      <w:pPr>
        <w:pStyle w:val="ListBullet"/>
        <w:spacing w:after="80"/>
      </w:pPr>
      <w:r>
        <w:t>Recent scholarship describes the 13 Compounds area of Dharavi as a highly organized informal circular economy and estimates that, at its peak, it recycled around 80% of Mumbai's hard waste while supporting livelihoods for roughly 250,000 informal waste workers across the wider network. These are scholarly estimates and should be presented as such, not as current official municipal statistics.</w:t>
      </w:r>
    </w:p>
    <w:p>
      <w:pPr>
        <w:pStyle w:val="ListBullet"/>
        <w:spacing w:after="80"/>
      </w:pPr>
      <w:r>
        <w:t>The ecosystem also has serious limitations. Informal processing can involve unsafe working conditions, pollution and weak regulatory protection, while workers can face insecurity when redevelopment or formalization changes access to material flows. The case therefore illustrates both the efficiency and the social-environmental costs of informal circularity.</w:t>
      </w:r>
    </w:p>
    <w:p>
      <w:pPr>
        <w:pStyle w:val="Heading2"/>
      </w:pPr>
      <w:r>
        <w:t>Background</w:t>
      </w:r>
    </w:p>
    <w:p>
      <w:pPr>
        <w:pStyle w:val="ListBullet"/>
        <w:spacing w:after="80"/>
      </w:pPr>
      <w:r>
        <w:t>Dharavi's recycling economy developed around access to discarded materials and demand for recovered inputs. Low entry barriers and dense trading networks allowed many actors to specialize in collection, sorting, transportation and processing. This created a localized circular economy.</w:t>
      </w:r>
    </w:p>
    <w:p>
      <w:pPr>
        <w:pStyle w:val="ListBullet"/>
        <w:spacing w:after="80"/>
      </w:pPr>
      <w:r>
        <w:t>The system operates through a chain rather than a single facility. Waste is collected from multiple sources, sorted by material, sold to intermediaries and processed into reusable inputs or products. The specialization of small enterprises allows flexibility and quick adaptation to market demand.</w:t>
      </w:r>
    </w:p>
    <w:p>
      <w:pPr>
        <w:pStyle w:val="ListBullet"/>
        <w:spacing w:after="80"/>
      </w:pPr>
      <w:r>
        <w:t>However, the system's informality also creates vulnerabilities. Workers may lack formal safety protections, and processing practices can create environmental impacts. Urban redevelopment can also disrupt the spatial relationships that make the recycling economy function.</w:t>
      </w:r>
    </w:p>
    <w:p>
      <w:pPr>
        <w:pStyle w:val="Heading2"/>
      </w:pPr>
      <w:r>
        <w:t>Strategy / Initiative</w:t>
      </w:r>
    </w:p>
    <w:p>
      <w:pPr>
        <w:pStyle w:val="ListBullet"/>
        <w:spacing w:after="80"/>
      </w:pPr>
      <w:r>
        <w:t>The first strategy is material specialization. Different actors focus on particular materials and stages of recovery, increasing efficiency through specialization. The network can handle small quantities that large centralized facilities may not find economical.</w:t>
      </w:r>
    </w:p>
    <w:p>
      <w:pPr>
        <w:pStyle w:val="ListBullet"/>
        <w:spacing w:after="80"/>
      </w:pPr>
      <w:r>
        <w:t>The second strategy is proximity to markets. Dense networks of brokers and traders connect recovered material with manufacturing demand. Shorter commercial links reduce transaction costs and allow rapid movement of material.</w:t>
      </w:r>
    </w:p>
    <w:p>
      <w:pPr>
        <w:pStyle w:val="ListBullet"/>
        <w:spacing w:after="80"/>
      </w:pPr>
      <w:r>
        <w:t>The third strategy is flexible labor organization. Workers can move between collection, sorting, transport and trading activities according to demand. This flexibility contributes to the resilience of the informal ecosystem but can also mean limited formal employment protections.</w:t>
      </w:r>
    </w:p>
    <w:p>
      <w:pPr>
        <w:pStyle w:val="Heading2"/>
      </w:pPr>
      <w:r>
        <w:t>Impact &amp; Results</w:t>
      </w:r>
    </w:p>
    <w:p>
      <w:pPr>
        <w:pStyle w:val="ListBullet"/>
        <w:spacing w:after="80"/>
      </w:pPr>
      <w:r>
        <w:t>Scholarship on Dharavi's 13 Compounds estimates that the area recycled around 80% of Mumbai's hard waste at its peak. The same source estimates that the wider ecosystem supported livelihoods for around 250,000 informal waste workers. These are academic estimates and should not be confused with current official city statistics.</w:t>
      </w:r>
    </w:p>
    <w:p>
      <w:pPr>
        <w:pStyle w:val="ListBullet"/>
        <w:spacing w:after="80"/>
      </w:pPr>
      <w:r>
        <w:t>The ecosystem creates economic value by converting discarded materials into inputs for other industries. It also reduces the quantity of recoverable material entering disposal streams. This demonstrates the resource-recovery potential of informal systems.</w:t>
      </w:r>
    </w:p>
    <w:p>
      <w:pPr>
        <w:pStyle w:val="ListBullet"/>
        <w:spacing w:after="80"/>
      </w:pPr>
      <w:r>
        <w:t>At the same time, the ecosystem is not an ecological ideal. Research emphasizes that informal recycling can involve pollution and unsafe work, and the spatial security of workers can be affected by redevelopment. Therefore, environmental efficiency and social protection must be considered together.</w:t>
      </w:r>
    </w:p>
    <w:p>
      <w:pPr>
        <w:pStyle w:val="Heading3"/>
      </w:pPr>
      <w:r>
        <w:t>Data Table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Indicator</w:t>
            </w:r>
          </w:p>
        </w:tc>
        <w:tc>
          <w:tcPr>
            <w:tcW w:type="dxa" w:w="5040"/>
            <w:vAlign w:val="center"/>
            <w:shd w:fill="D9EAF7"/>
          </w:tcPr>
          <w:p>
            <w:r/>
            <w:r>
              <w:rPr>
                <w:b/>
                <w:sz w:val="18"/>
              </w:rPr>
              <w:t>Case-study evidence / data</w:t>
            </w:r>
          </w:p>
        </w:tc>
      </w:tr>
      <w:tr>
        <w:tc>
          <w:tcPr>
            <w:tcW w:type="dxa" w:w="5040"/>
            <w:vAlign w:val="center"/>
          </w:tcPr>
          <w:p>
            <w:r/>
            <w:r>
              <w:rPr>
                <w:b w:val="0"/>
                <w:sz w:val="18"/>
              </w:rPr>
              <w:t>Dharavi 13 Compounds — scholarly peak estimate of Mumbai hard-waste recycling</w:t>
            </w:r>
          </w:p>
        </w:tc>
        <w:tc>
          <w:tcPr>
            <w:tcW w:type="dxa" w:w="5040"/>
            <w:vAlign w:val="center"/>
          </w:tcPr>
          <w:p>
            <w:r/>
            <w:r>
              <w:rPr>
                <w:b w:val="0"/>
                <w:sz w:val="18"/>
              </w:rPr>
              <w:t>~80%</w:t>
            </w:r>
          </w:p>
        </w:tc>
      </w:tr>
      <w:tr>
        <w:tc>
          <w:tcPr>
            <w:tcW w:type="dxa" w:w="5040"/>
            <w:vAlign w:val="center"/>
          </w:tcPr>
          <w:p>
            <w:r/>
            <w:r>
              <w:rPr>
                <w:b w:val="0"/>
                <w:sz w:val="18"/>
              </w:rPr>
              <w:t>Wider informal waste-worker livelihood estimate in cited scholarship</w:t>
            </w:r>
          </w:p>
        </w:tc>
        <w:tc>
          <w:tcPr>
            <w:tcW w:type="dxa" w:w="5040"/>
            <w:vAlign w:val="center"/>
          </w:tcPr>
          <w:p>
            <w:r/>
            <w:r>
              <w:rPr>
                <w:b w:val="0"/>
                <w:sz w:val="18"/>
              </w:rPr>
              <w:t>~250,000</w:t>
            </w:r>
          </w:p>
        </w:tc>
      </w:tr>
      <w:tr>
        <w:tc>
          <w:tcPr>
            <w:tcW w:type="dxa" w:w="5040"/>
            <w:vAlign w:val="center"/>
          </w:tcPr>
          <w:p>
            <w:r/>
            <w:r>
              <w:rPr>
                <w:b w:val="0"/>
                <w:sz w:val="18"/>
              </w:rPr>
              <w:t>Core actors</w:t>
            </w:r>
          </w:p>
        </w:tc>
        <w:tc>
          <w:tcPr>
            <w:tcW w:type="dxa" w:w="5040"/>
            <w:vAlign w:val="center"/>
          </w:tcPr>
          <w:p>
            <w:r/>
            <w:r>
              <w:rPr>
                <w:b w:val="0"/>
                <w:sz w:val="18"/>
              </w:rPr>
              <w:t>Waste pickers, kabadiwalas, transporters, sorters, brokers, dealers, remanufacturers</w:t>
            </w:r>
          </w:p>
        </w:tc>
      </w:tr>
      <w:tr>
        <w:tc>
          <w:tcPr>
            <w:tcW w:type="dxa" w:w="5040"/>
            <w:vAlign w:val="center"/>
          </w:tcPr>
          <w:p>
            <w:r/>
            <w:r>
              <w:rPr>
                <w:b w:val="0"/>
                <w:sz w:val="18"/>
              </w:rPr>
              <w:t>Primary economic mechanism</w:t>
            </w:r>
          </w:p>
        </w:tc>
        <w:tc>
          <w:tcPr>
            <w:tcW w:type="dxa" w:w="5040"/>
            <w:vAlign w:val="center"/>
          </w:tcPr>
          <w:p>
            <w:r/>
            <w:r>
              <w:rPr>
                <w:b w:val="0"/>
                <w:sz w:val="18"/>
              </w:rPr>
              <w:t>Material recovery + sorting + trading + remanufacturing</w:t>
            </w:r>
          </w:p>
        </w:tc>
      </w:tr>
      <w:tr>
        <w:tc>
          <w:tcPr>
            <w:tcW w:type="dxa" w:w="5040"/>
            <w:vAlign w:val="center"/>
          </w:tcPr>
          <w:p>
            <w:r/>
            <w:r>
              <w:rPr>
                <w:b w:val="0"/>
                <w:sz w:val="18"/>
              </w:rPr>
              <w:t>Data caution</w:t>
            </w:r>
          </w:p>
        </w:tc>
        <w:tc>
          <w:tcPr>
            <w:tcW w:type="dxa" w:w="5040"/>
            <w:vAlign w:val="center"/>
          </w:tcPr>
          <w:p>
            <w:r/>
            <w:r>
              <w:rPr>
                <w:b w:val="0"/>
                <w:sz w:val="18"/>
              </w:rPr>
              <w:t>Figures are scholarly estimates, not current official municipal totals</w:t>
            </w:r>
          </w:p>
        </w:tc>
      </w:tr>
    </w:tbl>
    <w:p/>
    <w:p>
      <w:pPr>
        <w:pStyle w:val="Heading2"/>
      </w:pPr>
      <w:r>
        <w:t>SWOT Analysis</w:t>
      </w:r>
    </w:p>
    <w:p>
      <w:pPr>
        <w:pStyle w:val="ListBullet"/>
        <w:spacing w:after="80"/>
      </w:pPr>
      <w:r>
        <w:t>Strength: The ecosystem has dense specialization and strong material-market connections. It can recover materials through flexible small-scale operations.</w:t>
      </w:r>
    </w:p>
    <w:p>
      <w:pPr>
        <w:pStyle w:val="ListBullet"/>
        <w:spacing w:after="80"/>
      </w:pPr>
      <w:r>
        <w:t>Strength: It creates livelihoods while reducing the quantity of recoverable waste sent toward disposal. Its network reaches materials that formal systems may struggle to collect.</w:t>
      </w:r>
    </w:p>
    <w:p>
      <w:pPr>
        <w:pStyle w:val="ListBullet"/>
        <w:spacing w:after="80"/>
      </w:pPr>
      <w:r>
        <w:t>Weakness: Informal processing can involve hazardous practices, weak worker protections and limited environmental controls. Material flows are also difficult to measure accurately.</w:t>
      </w:r>
    </w:p>
    <w:p>
      <w:pPr>
        <w:pStyle w:val="ListBullet"/>
        <w:spacing w:after="80"/>
      </w:pPr>
      <w:r>
        <w:t>Opportunity: Formal policy can recognize existing actors as collection and sorting partners while shifting hazardous processing to regulated facilities. Training and equipment can improve safety without destroying collection networks.</w:t>
      </w:r>
    </w:p>
    <w:p>
      <w:pPr>
        <w:pStyle w:val="ListBullet"/>
        <w:spacing w:after="80"/>
      </w:pPr>
      <w:r>
        <w:t>Threat: Sudden redevelopment or exclusion from waste sources can disrupt livelihoods and cause material flows to move elsewhere. Commodity-price changes can also destabilize small recycling businesses.</w:t>
      </w:r>
    </w:p>
    <w:p>
      <w:pPr>
        <w:pStyle w:val="Heading2"/>
      </w:pPr>
      <w:r>
        <w:t>Comparison with India</w:t>
      </w:r>
    </w:p>
    <w:p>
      <w:pPr>
        <w:pStyle w:val="ListBullet"/>
        <w:spacing w:after="80"/>
      </w:pPr>
      <w:r>
        <w:t>Dharavi demonstrates why India's informal sector cannot be treated simply as a problem to be removed. It provides collection, sorting and market connections at significant scale. National policy should therefore distinguish between collection roles that can be formalized and hazardous processing that requires strict controls.</w:t>
      </w:r>
    </w:p>
    <w:p>
      <w:pPr>
        <w:pStyle w:val="ListBullet"/>
        <w:spacing w:after="80"/>
      </w:pPr>
      <w:r>
        <w:t>The ecosystem can complement EPR if producers and authorized recyclers purchase material through registered collection partners. This would make existing networks visible within the formal system. Worker training and social protection should accompany such integration.</w:t>
      </w:r>
    </w:p>
    <w:p>
      <w:pPr>
        <w:pStyle w:val="ListBullet"/>
        <w:spacing w:after="80"/>
      </w:pPr>
      <w:r>
        <w:t>Compared with Switzerland's highly formal take-back system, Dharavi relies much more on market incentives and informal specialization. The two cases show different ways of achieving material recovery. India can combine market flexibility with formal environmental standards.</w:t>
      </w:r>
    </w:p>
    <w:p>
      <w:pPr>
        <w:pStyle w:val="Heading2"/>
      </w:pPr>
      <w:r>
        <w:t>Recommendations</w:t>
      </w:r>
    </w:p>
    <w:p>
      <w:pPr>
        <w:pStyle w:val="ListBullet"/>
        <w:spacing w:after="80"/>
      </w:pPr>
      <w:r>
        <w:t>Create licensed collection and aggregation partnerships for Dharavi's existing material traders. Registration should provide access to training, weighing facilities and authorized downstream recyclers. The goal should be traceable integration rather than abrupt displacement.</w:t>
      </w:r>
    </w:p>
    <w:p>
      <w:pPr>
        <w:pStyle w:val="ListBullet"/>
        <w:spacing w:after="80"/>
      </w:pPr>
      <w:r>
        <w:t>Provide shared safe-processing facilities for hazardous e-waste components. Informal actors can continue collection and material sorting while dangerous chemical or thermal processes are moved into regulated facilities. This can reduce environmental and occupational risks.</w:t>
      </w:r>
    </w:p>
    <w:p>
      <w:pPr>
        <w:pStyle w:val="ListBullet"/>
        <w:spacing w:after="80"/>
      </w:pPr>
      <w:r>
        <w:t>Include livelihood indicators in formalization programs. Measures should cover income continuity, worker safety, social protection and material recovery. A recycling policy that improves environmental metrics while destroying livelihoods should be assessed more broadly.</w:t>
      </w:r>
    </w:p>
    <w:p>
      <w:pPr>
        <w:pStyle w:val="Heading2"/>
      </w:pPr>
      <w:r>
        <w:t>Conclusion</w:t>
      </w:r>
    </w:p>
    <w:p>
      <w:pPr>
        <w:pStyle w:val="ListBullet"/>
        <w:spacing w:after="80"/>
      </w:pPr>
      <w:r>
        <w:t>Dharavi shows that an informal economy can perform substantial circular-economy functions through dense networks and market specialization. Its recycling activity demonstrates real resource-recovery value. At the same time, informality creates environmental and social risks that cannot be ignored.</w:t>
      </w:r>
    </w:p>
    <w:p>
      <w:pPr>
        <w:pStyle w:val="ListBullet"/>
        <w:spacing w:after="80"/>
      </w:pPr>
      <w:r>
        <w:t>The key lesson is not to choose between formal and informal systems in absolute terms. Collection and trading capabilities can be integrated, while hazardous processing can be subject to formal standards. This allows policy to retain useful network capacity while improving safety.</w:t>
      </w:r>
    </w:p>
    <w:p>
      <w:pPr>
        <w:pStyle w:val="ListBullet"/>
        <w:spacing w:after="80"/>
      </w:pPr>
      <w:r>
        <w:t>For India, Dharavi is therefore a case of 'formalize the chain, not simply eliminate the actors.' Integration, worker protection and traceability are central to a balanced approach.</w:t>
      </w:r>
    </w:p>
    <w:p>
      <w:pPr>
        <w:pStyle w:val="Heading2"/>
      </w:pPr>
      <w:r>
        <w:t>References</w:t>
      </w:r>
    </w:p>
    <w:p>
      <w:pPr>
        <w:pStyle w:val="ListBullet"/>
      </w:pPr>
      <w:r>
        <w:rPr>
          <w:b/>
        </w:rPr>
        <w:t xml:space="preserve">Springer Nature — Learning Through Waste Ecologies: Compound 13 Lab, Mumbai — </w:t>
      </w:r>
      <w:r>
        <w:t>https://link.springer.com/chapter/10.1007/978-3-031-82338-1_3</w:t>
      </w:r>
    </w:p>
    <w:p>
      <w:pPr>
        <w:pStyle w:val="ListBullet"/>
      </w:pPr>
      <w:r>
        <w:rPr>
          <w:b/>
        </w:rPr>
        <w:t xml:space="preserve">Wiley — Geographies of Exclusion and waste picker organization in Mumbai — </w:t>
      </w:r>
      <w:r>
        <w:t>https://onlinelibrary.wiley.com/doi/full/10.1111/1468-2427.13204</w:t>
      </w:r>
    </w:p>
    <w:p>
      <w:pPr>
        <w:pStyle w:val="ListBullet"/>
      </w:pPr>
      <w:r>
        <w:rPr>
          <w:b/>
        </w:rPr>
        <w:t xml:space="preserve">IIED — Informal Sector and Waste Paper Recovery in Bombay — </w:t>
      </w:r>
      <w:r>
        <w:t>https://www.iied.org/8124iied</w:t>
      </w:r>
    </w:p>
    <w:p>
      <w:r>
        <w:br w:type="page"/>
      </w:r>
    </w:p>
    <w:p>
      <w:pPr>
        <w:pStyle w:val="Heading1"/>
      </w:pPr>
      <w:r>
        <w:t>10. Dell's Circular Economy Strategy</w:t>
      </w:r>
    </w:p>
    <w:p>
      <w:pPr>
        <w:pStyle w:val="Heading2"/>
      </w:pPr>
      <w:r>
        <w:t>Cover / Details</w:t>
      </w:r>
    </w:p>
    <w:p>
      <w:r>
        <w:rPr>
          <w:b/>
        </w:rPr>
        <w:t xml:space="preserve">Case-study theme: </w:t>
      </w:r>
      <w:r>
        <w:t>Dell's Circular Economy Strategy</w:t>
      </w:r>
    </w:p>
    <w:p>
      <w:r>
        <w:rPr>
          <w:b/>
        </w:rPr>
        <w:t xml:space="preserve">Primary focus: </w:t>
      </w:r>
      <w:r>
        <w:t>Waste management, recycling, e-waste governance, circular economy, institutional design and India comparison.</w:t>
      </w:r>
    </w:p>
    <w:p>
      <w:r>
        <w:rPr>
          <w:b/>
        </w:rPr>
        <w:t xml:space="preserve">Use in MSE 2: </w:t>
      </w:r>
      <w:r>
        <w:t>Use the headings and point structure directly for report answers; data points are included for evidence-based answers.</w:t>
      </w:r>
    </w:p>
    <w:p>
      <w:pPr>
        <w:pStyle w:val="Heading2"/>
      </w:pPr>
      <w:r>
        <w:t>Executive Summary</w:t>
      </w:r>
    </w:p>
    <w:p>
      <w:pPr>
        <w:pStyle w:val="ListBullet"/>
        <w:spacing w:after="80"/>
      </w:pPr>
      <w:r>
        <w:t>Dell's circular economy strategy applies circularity across product design, materials, repair, refurbishment, recovery and recycling. The company states that it designs products for durability, repair and easier disassembly, while also using recycled and lower-impact materials. The approach moves the focus from end-of-life recycling alone toward lifecycle design.</w:t>
      </w:r>
    </w:p>
    <w:p>
      <w:pPr>
        <w:pStyle w:val="ListBullet"/>
        <w:spacing w:after="80"/>
      </w:pPr>
      <w:r>
        <w:t>Dell has also used closed-loop recycled plastics and other recovered materials in new products. Its current circular-economy information describes design for harvest, repair and refurbishment, more sustainable materials and lifecycle services. This shows how a manufacturer can internalize circular-economy principles into product and supply-chain decisions.</w:t>
      </w:r>
    </w:p>
    <w:p>
      <w:pPr>
        <w:pStyle w:val="ListBullet"/>
        <w:spacing w:after="80"/>
      </w:pPr>
      <w:r>
        <w:t>Dell reports that since 2007 it has recovered more than 2.5 billion pounds of used electronics. Its 2030 goals include reusing or recycling one metric ton for every metric ton of product customers buy, making 100% of packaging from recycled or renewable material or reused packaging, and making more than half of product content from specified lower-impact material sources. These are company goals, not independently verified outcomes in this report.</w:t>
      </w:r>
    </w:p>
    <w:p>
      <w:pPr>
        <w:pStyle w:val="Heading2"/>
      </w:pPr>
      <w:r>
        <w:t>Background</w:t>
      </w:r>
    </w:p>
    <w:p>
      <w:pPr>
        <w:pStyle w:val="ListBullet"/>
        <w:spacing w:after="80"/>
      </w:pPr>
      <w:r>
        <w:t>Traditional electronics manufacturing follows a linear model: extract materials, manufacture products, sell them and dispose of them after use. Circular economy strategies seek to keep materials and products in use longer. Dell's approach attempts to address this through design, recovery and reuse.</w:t>
      </w:r>
    </w:p>
    <w:p>
      <w:pPr>
        <w:pStyle w:val="ListBullet"/>
        <w:spacing w:after="80"/>
      </w:pPr>
      <w:r>
        <w:t>Dell's circular design principles include durability, repair and upgrade, dematerialization, sustainable materials and design for harvest. Designing for harvest means making components easier to extract for reuse or recycling. This changes the product-development stage rather than waiting until disposal.</w:t>
      </w:r>
    </w:p>
    <w:p>
      <w:pPr>
        <w:pStyle w:val="ListBullet"/>
        <w:spacing w:after="80"/>
      </w:pPr>
      <w:r>
        <w:t>Dell also uses services and partnerships to recover products from customers. Closed-loop recycling can turn recovered materials from old equipment into inputs for new products. This creates a feedback loop between use, recovery and manufacturing.</w:t>
      </w:r>
    </w:p>
    <w:p>
      <w:pPr>
        <w:pStyle w:val="Heading2"/>
      </w:pPr>
      <w:r>
        <w:t>Strategy / Initiative</w:t>
      </w:r>
    </w:p>
    <w:p>
      <w:pPr>
        <w:pStyle w:val="ListBullet"/>
        <w:spacing w:after="80"/>
      </w:pPr>
      <w:r>
        <w:t>The first strategy is circular product design. Dell aims to make devices easier to repair, upgrade and disassemble, using approaches such as modular designs, standard tools and limited adhesives. The objective is to extend useful life and improve material recovery.</w:t>
      </w:r>
    </w:p>
    <w:p>
      <w:pPr>
        <w:pStyle w:val="ListBullet"/>
        <w:spacing w:after="80"/>
      </w:pPr>
      <w:r>
        <w:t>The second strategy is closed-loop material use. Dell has used recycled plastics and other recovered materials in new products, creating demand for materials recovered from old electronics. The company describes this as a way to keep materials in circulation.</w:t>
      </w:r>
    </w:p>
    <w:p>
      <w:pPr>
        <w:pStyle w:val="ListBullet"/>
        <w:spacing w:after="80"/>
      </w:pPr>
      <w:r>
        <w:t>The third strategy is recovery and lifecycle services. Customers can access repair, recovery and recycling services, while Dell works with suppliers and recycling partners. This extends circularity beyond the factory into the post-consumer stage.</w:t>
      </w:r>
    </w:p>
    <w:p>
      <w:pPr>
        <w:pStyle w:val="Heading2"/>
      </w:pPr>
      <w:r>
        <w:t>Impact &amp; Results</w:t>
      </w:r>
    </w:p>
    <w:p>
      <w:pPr>
        <w:pStyle w:val="ListBullet"/>
        <w:spacing w:after="80"/>
      </w:pPr>
      <w:r>
        <w:t>Dell reports that it has recovered more than 2.5 billion pounds, or about 1.1 billion kg, of used electronics since 2007. This is a cumulative company-reported figure. It indicates the scale of its recovery programs but does not equal the quantity recycled into new Dell products.</w:t>
      </w:r>
    </w:p>
    <w:p>
      <w:pPr>
        <w:pStyle w:val="ListBullet"/>
        <w:spacing w:after="80"/>
      </w:pPr>
      <w:r>
        <w:t>Dell's earlier closed-loop plastics case study reported an 11% lower carbon footprint for the closed-loop plastics process compared with virgin plastic. The case study also described more than 90 products using closed-loop recycled plastics at that time. These figures are historical program evidence and should not be treated as current product counts.</w:t>
      </w:r>
    </w:p>
    <w:p>
      <w:pPr>
        <w:pStyle w:val="ListBullet"/>
        <w:spacing w:after="80"/>
      </w:pPr>
      <w:r>
        <w:t>Dell's stated 2030 goals include one-for-one reuse or recycling by product mass, 100% recycled/renewable/reused packaging and more than half of product content from recycled, renewable or reduced-carbon-emissions material. These are forward-looking corporate targets. Their significance is that circularity is being measured across the product lifecycle.</w:t>
      </w:r>
    </w:p>
    <w:p>
      <w:pPr>
        <w:pStyle w:val="Heading3"/>
      </w:pPr>
      <w:r>
        <w:t>Data Table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Indicator</w:t>
            </w:r>
          </w:p>
        </w:tc>
        <w:tc>
          <w:tcPr>
            <w:tcW w:type="dxa" w:w="5040"/>
            <w:vAlign w:val="center"/>
            <w:shd w:fill="D9EAF7"/>
          </w:tcPr>
          <w:p>
            <w:r/>
            <w:r>
              <w:rPr>
                <w:b/>
                <w:sz w:val="18"/>
              </w:rPr>
              <w:t>Case-study evidence / data</w:t>
            </w:r>
          </w:p>
        </w:tc>
      </w:tr>
      <w:tr>
        <w:tc>
          <w:tcPr>
            <w:tcW w:type="dxa" w:w="5040"/>
            <w:vAlign w:val="center"/>
          </w:tcPr>
          <w:p>
            <w:r/>
            <w:r>
              <w:rPr>
                <w:b w:val="0"/>
                <w:sz w:val="18"/>
              </w:rPr>
              <w:t>Used electronics recovered since 2007</w:t>
            </w:r>
          </w:p>
        </w:tc>
        <w:tc>
          <w:tcPr>
            <w:tcW w:type="dxa" w:w="5040"/>
            <w:vAlign w:val="center"/>
          </w:tcPr>
          <w:p>
            <w:r/>
            <w:r>
              <w:rPr>
                <w:b w:val="0"/>
                <w:sz w:val="18"/>
              </w:rPr>
              <w:t>&gt;2.5 billion lb / ~1.1 billion kg</w:t>
            </w:r>
          </w:p>
        </w:tc>
      </w:tr>
      <w:tr>
        <w:tc>
          <w:tcPr>
            <w:tcW w:type="dxa" w:w="5040"/>
            <w:vAlign w:val="center"/>
          </w:tcPr>
          <w:p>
            <w:r/>
            <w:r>
              <w:rPr>
                <w:b w:val="0"/>
                <w:sz w:val="18"/>
              </w:rPr>
              <w:t>Historical closed-loop plastics carbon-footprint result</w:t>
            </w:r>
          </w:p>
        </w:tc>
        <w:tc>
          <w:tcPr>
            <w:tcW w:type="dxa" w:w="5040"/>
            <w:vAlign w:val="center"/>
          </w:tcPr>
          <w:p>
            <w:r/>
            <w:r>
              <w:rPr>
                <w:b w:val="0"/>
                <w:sz w:val="18"/>
              </w:rPr>
              <w:t>11% lower than virgin plastic in cited case study</w:t>
            </w:r>
          </w:p>
        </w:tc>
      </w:tr>
      <w:tr>
        <w:tc>
          <w:tcPr>
            <w:tcW w:type="dxa" w:w="5040"/>
            <w:vAlign w:val="center"/>
          </w:tcPr>
          <w:p>
            <w:r/>
            <w:r>
              <w:rPr>
                <w:b w:val="0"/>
                <w:sz w:val="18"/>
              </w:rPr>
              <w:t>Historical products using closed-loop recycled plastics</w:t>
            </w:r>
          </w:p>
        </w:tc>
        <w:tc>
          <w:tcPr>
            <w:tcW w:type="dxa" w:w="5040"/>
            <w:vAlign w:val="center"/>
          </w:tcPr>
          <w:p>
            <w:r/>
            <w:r>
              <w:rPr>
                <w:b w:val="0"/>
                <w:sz w:val="18"/>
              </w:rPr>
              <w:t>90+</w:t>
            </w:r>
          </w:p>
        </w:tc>
      </w:tr>
      <w:tr>
        <w:tc>
          <w:tcPr>
            <w:tcW w:type="dxa" w:w="5040"/>
            <w:vAlign w:val="center"/>
          </w:tcPr>
          <w:p>
            <w:r/>
            <w:r>
              <w:rPr>
                <w:b w:val="0"/>
                <w:sz w:val="18"/>
              </w:rPr>
              <w:t>2030 product recovery ambition</w:t>
            </w:r>
          </w:p>
        </w:tc>
        <w:tc>
          <w:tcPr>
            <w:tcW w:type="dxa" w:w="5040"/>
            <w:vAlign w:val="center"/>
          </w:tcPr>
          <w:p>
            <w:r/>
            <w:r>
              <w:rPr>
                <w:b w:val="0"/>
                <w:sz w:val="18"/>
              </w:rPr>
              <w:t>Reuse/recycle 1 metric ton for every 1 metric ton sold</w:t>
            </w:r>
          </w:p>
        </w:tc>
      </w:tr>
      <w:tr>
        <w:tc>
          <w:tcPr>
            <w:tcW w:type="dxa" w:w="5040"/>
            <w:vAlign w:val="center"/>
          </w:tcPr>
          <w:p>
            <w:r/>
            <w:r>
              <w:rPr>
                <w:b w:val="0"/>
                <w:sz w:val="18"/>
              </w:rPr>
              <w:t>2030 packaging ambition</w:t>
            </w:r>
          </w:p>
        </w:tc>
        <w:tc>
          <w:tcPr>
            <w:tcW w:type="dxa" w:w="5040"/>
            <w:vAlign w:val="center"/>
          </w:tcPr>
          <w:p>
            <w:r/>
            <w:r>
              <w:rPr>
                <w:b w:val="0"/>
                <w:sz w:val="18"/>
              </w:rPr>
              <w:t>100% recycled/renewable material or reused packaging</w:t>
            </w:r>
          </w:p>
        </w:tc>
      </w:tr>
      <w:tr>
        <w:tc>
          <w:tcPr>
            <w:tcW w:type="dxa" w:w="5040"/>
            <w:vAlign w:val="center"/>
          </w:tcPr>
          <w:p>
            <w:r/>
            <w:r>
              <w:rPr>
                <w:b w:val="0"/>
                <w:sz w:val="18"/>
              </w:rPr>
              <w:t>2030 product-content ambition</w:t>
            </w:r>
          </w:p>
        </w:tc>
        <w:tc>
          <w:tcPr>
            <w:tcW w:type="dxa" w:w="5040"/>
            <w:vAlign w:val="center"/>
          </w:tcPr>
          <w:p>
            <w:r/>
            <w:r>
              <w:rPr>
                <w:b w:val="0"/>
                <w:sz w:val="18"/>
              </w:rPr>
              <w:t>&gt;50% from recycled, renewable or reduced-carbon-emissions material</w:t>
            </w:r>
          </w:p>
        </w:tc>
      </w:tr>
    </w:tbl>
    <w:p/>
    <w:p>
      <w:pPr>
        <w:pStyle w:val="Heading2"/>
      </w:pPr>
      <w:r>
        <w:t>SWOT Analysis</w:t>
      </w:r>
    </w:p>
    <w:p>
      <w:pPr>
        <w:pStyle w:val="ListBullet"/>
        <w:spacing w:after="80"/>
      </w:pPr>
      <w:r>
        <w:t>Strength: Circularity is incorporated into product design, materials, repair and recovery rather than treated only as end-of-life recycling. This can extend product life and improve material value.</w:t>
      </w:r>
    </w:p>
    <w:p>
      <w:pPr>
        <w:pStyle w:val="ListBullet"/>
        <w:spacing w:after="80"/>
      </w:pPr>
      <w:r>
        <w:t>Strength: Closed-loop material use creates a direct demand for recovered materials. This can help build markets for recycled electronics-derived inputs.</w:t>
      </w:r>
    </w:p>
    <w:p>
      <w:pPr>
        <w:pStyle w:val="ListBullet"/>
        <w:spacing w:after="80"/>
      </w:pPr>
      <w:r>
        <w:t>Weakness: Circular design can increase engineering, sourcing and reverse-logistics complexity. Recovery systems also depend on customer participation and sufficient returned-product volumes.</w:t>
      </w:r>
    </w:p>
    <w:p>
      <w:pPr>
        <w:pStyle w:val="ListBullet"/>
        <w:spacing w:after="80"/>
      </w:pPr>
      <w:r>
        <w:t>Opportunity: Other electronics manufacturers can adopt design-for-disassembly and closed-loop material procurement. Producer EPR systems can support recovery networks that feed such manufacturing loops.</w:t>
      </w:r>
    </w:p>
    <w:p>
      <w:pPr>
        <w:pStyle w:val="ListBullet"/>
        <w:spacing w:after="80"/>
      </w:pPr>
      <w:r>
        <w:t>Threat: Rapid technology change can shorten product relevance even when hardware remains repairable. Complex materials and batteries can also make closed-loop recovery technically difficult.</w:t>
      </w:r>
    </w:p>
    <w:p>
      <w:pPr>
        <w:pStyle w:val="Heading2"/>
      </w:pPr>
      <w:r>
        <w:t>Comparison with India</w:t>
      </w:r>
    </w:p>
    <w:p>
      <w:pPr>
        <w:pStyle w:val="ListBullet"/>
        <w:spacing w:after="80"/>
      </w:pPr>
      <w:r>
        <w:t>Dell's strategy can be compared with India's EPR model at the producer level. Indian rules focus strongly on post-consumer recycling obligations, while circular product design can reduce waste before it reaches end of life. The two approaches are complementary.</w:t>
      </w:r>
    </w:p>
    <w:p>
      <w:pPr>
        <w:pStyle w:val="ListBullet"/>
        <w:spacing w:after="80"/>
      </w:pPr>
      <w:r>
        <w:t>India's large informal collection sector can provide recovered materials, but manufacturers need quality-controlled and traceable inputs for closed-loop production. Formal collection and processing can therefore become suppliers to circular manufacturing.</w:t>
      </w:r>
    </w:p>
    <w:p>
      <w:pPr>
        <w:pStyle w:val="ListBullet"/>
        <w:spacing w:after="80"/>
      </w:pPr>
      <w:r>
        <w:t>The model also highlights the role of repair and refurbishment. India's circular economy can benefit from extending product life before recycling, particularly for computers and smartphones. This requires repairability, spare parts and responsible refurbishment channels.</w:t>
      </w:r>
    </w:p>
    <w:p>
      <w:pPr>
        <w:pStyle w:val="Heading2"/>
      </w:pPr>
      <w:r>
        <w:t>Recommendations</w:t>
      </w:r>
    </w:p>
    <w:p>
      <w:pPr>
        <w:pStyle w:val="ListBullet"/>
        <w:spacing w:after="80"/>
      </w:pPr>
      <w:r>
        <w:t>Indian electronics manufacturers should publish product-level repairability and disassembly guidance. Standard fasteners, modular components and reduced adhesive use can make repair and material recovery easier. Such design criteria can be incorporated into procurement and EPR discussions.</w:t>
      </w:r>
    </w:p>
    <w:p>
      <w:pPr>
        <w:pStyle w:val="ListBullet"/>
        <w:spacing w:after="80"/>
      </w:pPr>
      <w:r>
        <w:t>Create closed-loop procurement pilots using recovered plastics, aluminum and other materials from authorized Indian recyclers. Producers can specify quality requirements and purchase recovered material for new products. This creates a direct economic incentive for high-quality recycling.</w:t>
      </w:r>
    </w:p>
    <w:p>
      <w:pPr>
        <w:pStyle w:val="ListBullet"/>
        <w:spacing w:after="80"/>
      </w:pPr>
      <w:r>
        <w:t>Combine EPR with repair and refurbishment targets. Products that are safely refurbished should be kept in use before material recycling. Digital product information can help recyclers identify materials and components at end of life.</w:t>
      </w:r>
    </w:p>
    <w:p>
      <w:pPr>
        <w:pStyle w:val="Heading2"/>
      </w:pPr>
      <w:r>
        <w:t>Conclusion</w:t>
      </w:r>
    </w:p>
    <w:p>
      <w:pPr>
        <w:pStyle w:val="ListBullet"/>
        <w:spacing w:after="80"/>
      </w:pPr>
      <w:r>
        <w:t>Dell's case demonstrates that circular economy strategy can begin at product design rather than at the waste facility. Repair, refurbishment, disassembly, recycled materials and recovery services can form one lifecycle strategy. This reduces dependence on a purely linear manufacturing model.</w:t>
      </w:r>
    </w:p>
    <w:p>
      <w:pPr>
        <w:pStyle w:val="ListBullet"/>
        <w:spacing w:after="80"/>
      </w:pPr>
      <w:r>
        <w:t>The most relevant Indian lesson is the connection between EPR and circular product design. EPR can finance collection and recycling, while manufacturers can reduce waste generation and improve material recovery through design choices. Together they create a more complete circular chain.</w:t>
      </w:r>
    </w:p>
    <w:p>
      <w:pPr>
        <w:pStyle w:val="ListBullet"/>
        <w:spacing w:after="80"/>
      </w:pPr>
      <w:r>
        <w:t>Dell's reported figures show the potential scale of corporate recovery programs, but company targets and historical case-study metrics should be distinguished from independently verified national outcomes. For exam purposes, the central concept is lifecycle circularity.</w:t>
      </w:r>
    </w:p>
    <w:p>
      <w:pPr>
        <w:pStyle w:val="Heading2"/>
      </w:pPr>
      <w:r>
        <w:t>References</w:t>
      </w:r>
    </w:p>
    <w:p>
      <w:pPr>
        <w:pStyle w:val="ListBullet"/>
      </w:pPr>
      <w:r>
        <w:rPr>
          <w:b/>
        </w:rPr>
        <w:t xml:space="preserve">Dell India — Accelerating the Circular Economy — </w:t>
      </w:r>
      <w:r>
        <w:t>https://www.dell.com/en-in/dt/corporate/social-impact/advancing-sustainability/accelerating-the-circular-economy.htm</w:t>
      </w:r>
    </w:p>
    <w:p>
      <w:pPr>
        <w:pStyle w:val="ListBullet"/>
      </w:pPr>
      <w:r>
        <w:rPr>
          <w:b/>
        </w:rPr>
        <w:t xml:space="preserve">Dell — Circular Design Gives E-Waste a Second Life — </w:t>
      </w:r>
      <w:r>
        <w:t>https://www.dell.com/en-us/blog/circular-design-gives-e-waste-a-second-life/</w:t>
      </w:r>
    </w:p>
    <w:p>
      <w:pPr>
        <w:pStyle w:val="ListBullet"/>
      </w:pPr>
      <w:r>
        <w:rPr>
          <w:b/>
        </w:rPr>
        <w:t xml:space="preserve">Dell — Circular Economy case study / closed-loop plastics — </w:t>
      </w:r>
      <w:r>
        <w:t>https://i.dell.com/sites/doccontent/corporate/corp-comm/en/Documents/circular-case-study.pdf</w:t>
      </w:r>
    </w:p>
    <w:p>
      <w:pPr>
        <w:pStyle w:val="ListBullet"/>
      </w:pPr>
      <w:r>
        <w:rPr>
          <w:b/>
        </w:rPr>
        <w:t xml:space="preserve">Dell Technologies — Design for Environment / Circular Economy — </w:t>
      </w:r>
      <w:r>
        <w:t>https://www.dell.com/content/dam/documents-and-videos/dv1/en/solutions/business-solutions/briefs-summaries/design-for-environment.pdf</w:t>
      </w:r>
    </w:p>
    <w:p>
      <w:r>
        <w:br w:type="page"/>
      </w:r>
    </w:p>
    <w:p>
      <w:pPr>
        <w:pStyle w:val="Heading1"/>
      </w:pPr>
      <w:r>
        <w:t>ONE-PAGE EXAM REVISION SHEET</w:t>
      </w:r>
    </w:p>
    <w:p>
      <w:r>
        <w:rPr>
          <w:b/>
        </w:rPr>
        <w:t xml:space="preserve">How to answer any case: </w:t>
      </w:r>
      <w:r>
        <w:t>1) Define the problem/context → 2) explain strategy → 3) quote 2–3 data points → 4) give SWOT → 5) compare with India → 6) give practical recommendations → 7) conclude with the main lesson.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6"/>
              </w:rPr>
              <w:t>Case</w:t>
            </w:r>
          </w:p>
        </w:tc>
        <w:tc>
          <w:tcPr>
            <w:tcW w:type="dxa" w:w="5040"/>
            <w:vAlign w:val="center"/>
            <w:shd w:fill="D9EAF7"/>
          </w:tcPr>
          <w:p>
            <w:r/>
            <w:r>
              <w:rPr>
                <w:b/>
                <w:sz w:val="16"/>
              </w:rPr>
              <w:t>Last-minute points</w:t>
            </w:r>
          </w:p>
        </w:tc>
      </w:tr>
      <w:tr>
        <w:tc>
          <w:tcPr>
            <w:tcW w:type="dxa" w:w="5040"/>
            <w:vAlign w:val="center"/>
          </w:tcPr>
          <w:p>
            <w:r/>
            <w:r>
              <w:rPr>
                <w:b/>
                <w:sz w:val="15"/>
              </w:rPr>
              <w:t>1 Japan</w:t>
            </w:r>
          </w:p>
        </w:tc>
        <w:tc>
          <w:tcPr>
            <w:tcW w:type="dxa" w:w="5040"/>
            <w:vAlign w:val="center"/>
          </w:tcPr>
          <w:p>
            <w:r/>
            <w:r>
              <w:rPr>
                <w:b w:val="0"/>
                <w:sz w:val="15"/>
              </w:rPr>
              <w:t>3R + source segregation; consumer–municipality–business role sharing; FY2024 waste generation 38.11 Mt; recycling 19.3%; waste reduction 99.2%; lesson: prevention + segregation + local rules.</w:t>
            </w:r>
          </w:p>
        </w:tc>
      </w:tr>
      <w:tr>
        <w:tc>
          <w:tcPr>
            <w:tcW w:type="dxa" w:w="5040"/>
            <w:vAlign w:val="center"/>
          </w:tcPr>
          <w:p>
            <w:r/>
            <w:r>
              <w:rPr>
                <w:b/>
                <w:sz w:val="15"/>
              </w:rPr>
              <w:t>2 Switzerland</w:t>
            </w:r>
          </w:p>
        </w:tc>
        <w:tc>
          <w:tcPr>
            <w:tcW w:type="dxa" w:w="5040"/>
            <w:vAlign w:val="center"/>
          </w:tcPr>
          <w:p>
            <w:r/>
            <w:r>
              <w:rPr>
                <w:b w:val="0"/>
                <w:sz w:val="15"/>
              </w:rPr>
              <w:t>Advance recycling contribution; free take-back; SENS/Swico specialization; 2024 SENS 100,762 t; 11.14 kg/person; large-appliance collection rate 97%; lesson: convenient, pre-funded take-back.</w:t>
            </w:r>
          </w:p>
        </w:tc>
      </w:tr>
      <w:tr>
        <w:tc>
          <w:tcPr>
            <w:tcW w:type="dxa" w:w="5040"/>
            <w:vAlign w:val="center"/>
          </w:tcPr>
          <w:p>
            <w:r/>
            <w:r>
              <w:rPr>
                <w:b/>
                <w:sz w:val="15"/>
              </w:rPr>
              <w:t>3 India E-Waste Rules 2022</w:t>
            </w:r>
          </w:p>
        </w:tc>
        <w:tc>
          <w:tcPr>
            <w:tcW w:type="dxa" w:w="5040"/>
            <w:vAlign w:val="center"/>
          </w:tcPr>
          <w:p>
            <w:r/>
            <w:r>
              <w:rPr>
                <w:b w:val="0"/>
                <w:sz w:val="15"/>
              </w:rPr>
              <w:t>Effective 1 Apr 2023; 106 EEE items/7 categories; EPR portal; certificates; refurbishing; audits/EC; generation 12.54 lakh t (FY23-24) and 13.98 lakh t (FY24-25); lesson: digital EPR + physical verification.</w:t>
            </w:r>
          </w:p>
        </w:tc>
      </w:tr>
      <w:tr>
        <w:tc>
          <w:tcPr>
            <w:tcW w:type="dxa" w:w="5040"/>
            <w:vAlign w:val="center"/>
          </w:tcPr>
          <w:p>
            <w:r/>
            <w:r>
              <w:rPr>
                <w:b/>
                <w:sz w:val="15"/>
              </w:rPr>
              <w:t>4 EPR: Success or Paper?</w:t>
            </w:r>
          </w:p>
        </w:tc>
        <w:tc>
          <w:tcPr>
            <w:tcW w:type="dxa" w:w="5040"/>
            <w:vAlign w:val="center"/>
          </w:tcPr>
          <w:p>
            <w:r/>
            <w:r>
              <w:rPr>
                <w:b w:val="0"/>
                <w:sz w:val="15"/>
              </w:rPr>
              <w:t>Producer obligation + recycler certificates; progress in reported recycling; major issue: informal-sector data gap; NITI Aayog cites ~78% informal processing; lesson: certificates must match physical recycling.</w:t>
            </w:r>
          </w:p>
        </w:tc>
      </w:tr>
      <w:tr>
        <w:tc>
          <w:tcPr>
            <w:tcW w:type="dxa" w:w="5040"/>
            <w:vAlign w:val="center"/>
          </w:tcPr>
          <w:p>
            <w:r/>
            <w:r>
              <w:rPr>
                <w:b/>
                <w:sz w:val="15"/>
              </w:rPr>
              <w:t>5 Bengaluru</w:t>
            </w:r>
          </w:p>
        </w:tc>
        <w:tc>
          <w:tcPr>
            <w:tcW w:type="dxa" w:w="5040"/>
            <w:vAlign w:val="center"/>
          </w:tcPr>
          <w:p>
            <w:r/>
            <w:r>
              <w:rPr>
                <w:b w:val="0"/>
                <w:sz w:val="15"/>
              </w:rPr>
              <w:t>Technology/electronics hub; formal + informal recycling; Karnataka estimate ~3–4 lakh MTA; informal workers are important but face safety/exclusion issues; lesson: integrate collectors with authorized processing.</w:t>
            </w:r>
          </w:p>
        </w:tc>
      </w:tr>
      <w:tr>
        <w:tc>
          <w:tcPr>
            <w:tcW w:type="dxa" w:w="5040"/>
            <w:vAlign w:val="center"/>
          </w:tcPr>
          <w:p>
            <w:r/>
            <w:r>
              <w:rPr>
                <w:b/>
                <w:sz w:val="15"/>
              </w:rPr>
              <w:t>6 Mumbai</w:t>
            </w:r>
          </w:p>
        </w:tc>
        <w:tc>
          <w:tcPr>
            <w:tcW w:type="dxa" w:w="5040"/>
            <w:vAlign w:val="center"/>
          </w:tcPr>
          <w:p>
            <w:r/>
            <w:r>
              <w:rPr>
                <w:b w:val="0"/>
                <w:sz w:val="15"/>
              </w:rPr>
              <w:t>Dense consumer/corporate market; MPCB framework; awareness and data security affect collection; Port Authority sent 25.05/17.74/6.06 MT in FY22-23/FY23-24/FY24-25; lesson: trusted neighborhood take-back.</w:t>
            </w:r>
          </w:p>
        </w:tc>
      </w:tr>
      <w:tr>
        <w:tc>
          <w:tcPr>
            <w:tcW w:type="dxa" w:w="5040"/>
            <w:vAlign w:val="center"/>
          </w:tcPr>
          <w:p>
            <w:r/>
            <w:r>
              <w:rPr>
                <w:b/>
                <w:sz w:val="15"/>
              </w:rPr>
              <w:t>7 Clean Kerala</w:t>
            </w:r>
          </w:p>
        </w:tc>
        <w:tc>
          <w:tcPr>
            <w:tcW w:type="dxa" w:w="5040"/>
            <w:vAlign w:val="center"/>
          </w:tcPr>
          <w:p>
            <w:r/>
            <w:r>
              <w:rPr>
                <w:b w:val="0"/>
                <w:sz w:val="15"/>
              </w:rPr>
              <w:t>CKCL as state forward-linkage institution; works with local governments + Haritha Karma Sena + approved recyclers; e-waste 2,678 MT on current CKCL site; lesson: aggregate decentralized collection and connect it to authorized processing.</w:t>
            </w:r>
          </w:p>
        </w:tc>
      </w:tr>
      <w:tr>
        <w:tc>
          <w:tcPr>
            <w:tcW w:type="dxa" w:w="5040"/>
            <w:vAlign w:val="center"/>
          </w:tcPr>
          <w:p>
            <w:r/>
            <w:r>
              <w:rPr>
                <w:b/>
                <w:sz w:val="15"/>
              </w:rPr>
              <w:t>8 Pune SWaCH</w:t>
            </w:r>
          </w:p>
        </w:tc>
        <w:tc>
          <w:tcPr>
            <w:tcW w:type="dxa" w:w="5040"/>
            <w:vAlign w:val="center"/>
          </w:tcPr>
          <w:p>
            <w:r/>
            <w:r>
              <w:rPr>
                <w:b w:val="0"/>
                <w:sz w:val="15"/>
              </w:rPr>
              <w:t>Waste-picker cooperative + municipal partnership; 6.42 lakh households/60% in cited snapshot; 2,688 waste pickers; 3.5 lakh MT annual handling in cited case; lesson: livelihood + service + recycling.</w:t>
            </w:r>
          </w:p>
        </w:tc>
      </w:tr>
      <w:tr>
        <w:tc>
          <w:tcPr>
            <w:tcW w:type="dxa" w:w="5040"/>
            <w:vAlign w:val="center"/>
          </w:tcPr>
          <w:p>
            <w:r/>
            <w:r>
              <w:rPr>
                <w:b/>
                <w:sz w:val="15"/>
              </w:rPr>
              <w:t>9 Dharavi</w:t>
            </w:r>
          </w:p>
        </w:tc>
        <w:tc>
          <w:tcPr>
            <w:tcW w:type="dxa" w:w="5040"/>
            <w:vAlign w:val="center"/>
          </w:tcPr>
          <w:p>
            <w:r/>
            <w:r>
              <w:rPr>
                <w:b w:val="0"/>
                <w:sz w:val="15"/>
              </w:rPr>
              <w:t>Informal circular economy; specialization from collection to remanufacturing; scholarly peak estimate ~80% Mumbai hard waste and ~250,000 livelihoods; risks: safety, pollution, redevelopment; lesson: formalize the chain without simply eliminating actors.</w:t>
            </w:r>
          </w:p>
        </w:tc>
      </w:tr>
      <w:tr>
        <w:tc>
          <w:tcPr>
            <w:tcW w:type="dxa" w:w="5040"/>
            <w:vAlign w:val="center"/>
          </w:tcPr>
          <w:p>
            <w:r/>
            <w:r>
              <w:rPr>
                <w:b/>
                <w:sz w:val="15"/>
              </w:rPr>
              <w:t>10 Dell</w:t>
            </w:r>
          </w:p>
        </w:tc>
        <w:tc>
          <w:tcPr>
            <w:tcW w:type="dxa" w:w="5040"/>
            <w:vAlign w:val="center"/>
          </w:tcPr>
          <w:p>
            <w:r/>
            <w:r>
              <w:rPr>
                <w:b w:val="0"/>
                <w:sz w:val="15"/>
              </w:rPr>
              <w:t>Circular design + repair + refurbishment + closed-loop materials + recovery; &gt;2.5 billion lb electronics recovered since 2007; historical closed-loop plastics case: 11% lower carbon footprint; lesson: circularity starts at product design.</w:t>
            </w:r>
          </w:p>
        </w:tc>
      </w:tr>
    </w:tbl>
    <w:p/>
    <w:p>
      <w:r>
        <w:rPr>
          <w:b/>
        </w:rPr>
        <w:t xml:space="preserve">Important exam caution: </w:t>
      </w:r>
      <w:r>
        <w:t>Where a source reports different years, scopes or definitions, state the period and metric instead of mixing percentages. The original uploaded document lists the 10 case-study titles; detailed facts in this report were supplemented from the cited official and research sources.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DE6099E-8532-47FE-A99B-C5549A376148}"/>
</file>

<file path=customXml/itemProps3.xml><?xml version="1.0" encoding="utf-8"?>
<ds:datastoreItem xmlns:ds="http://schemas.openxmlformats.org/officeDocument/2006/customXml" ds:itemID="{3648E13A-CA99-46E4-A2FB-8B9079F8EB9C}"/>
</file>

<file path=customXml/itemProps4.xml><?xml version="1.0" encoding="utf-8"?>
<ds:datastoreItem xmlns:ds="http://schemas.openxmlformats.org/officeDocument/2006/customXml" ds:itemID="{1E4CDB27-C783-4FA0-9710-8F461B0146A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