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MSc Robotics Dissertation Proposal: Interpretable Industrial Image Anomaly Inspection</w:t>
      </w:r>
    </w:p>
    <w:p>
      <w:r>
        <w:t>Generated: 2026-02-09 15:05</w:t>
      </w:r>
    </w:p>
    <w:p>
      <w:pPr>
        <w:pStyle w:val="Heading1"/>
      </w:pPr>
      <w:r>
        <w:t>Abstract</w:t>
      </w:r>
    </w:p>
    <w:p>
      <w:r>
        <w:t>This proposal outlines the design and implementation of an industrial image anomaly inspection pipeline with interpretable semantics and safety-aligned risk scoring. The system targets MVTec AD categories (bottle, cable, wood, tile, leather) and outputs anomaly detection, localization, defect labels, evidence, risk class, and action recommendations. The work combines established anomaly detection baselines with a vision-language model for defect semantics and deterministic risk rules.</w:t>
      </w:r>
    </w:p>
    <w:p>
      <w:pPr>
        <w:pStyle w:val="Heading1"/>
      </w:pPr>
      <w:r>
        <w:t>1. Background and Motivation</w:t>
      </w:r>
    </w:p>
    <w:p>
      <w:r>
        <w:t>Industrial visual inspection often relies on scarce defect examples, making unsupervised or one-class anomaly detection appropriate. The MVTec AD dataset provides a realistic benchmark with pixel-precise annotations for industrial anomalies (Bergmann et al., 2019; Bergmann et al., 2021). Recent methods such as PatchCore and PaDiM demonstrate strong performance for detection and localization in this setting (Roth et al., 2022; Defard et al., 2020).</w:t>
      </w:r>
    </w:p>
    <w:p>
      <w:pPr>
        <w:pStyle w:val="Heading1"/>
      </w:pPr>
      <w:r>
        <w:t>2. Aims and Objectives</w:t>
      </w:r>
    </w:p>
    <w:p>
      <w:r>
        <w:t>Primary aim: build an interpretable, safety-aligned anomaly inspection pipeline.</w:t>
      </w:r>
    </w:p>
    <w:p>
      <w:r>
        <w:t>Objectives:</w:t>
      </w:r>
    </w:p>
    <w:p>
      <w:r>
        <w:t>1) Detect anomalies with image-level decision and continuous score.</w:t>
      </w:r>
    </w:p>
    <w:p>
      <w:r>
        <w:t>2) Localize anomalies with heatmaps, masks, and bounding boxes.</w:t>
      </w:r>
    </w:p>
    <w:p>
      <w:r>
        <w:t>3) Produce defect labels and evidence grounded in visible cues.</w:t>
      </w:r>
    </w:p>
    <w:p>
      <w:r>
        <w:t>4) Compute risk class via deterministic RPM lookup (no VLM risk generation).</w:t>
      </w:r>
    </w:p>
    <w:p>
      <w:r>
        <w:t>5) Provide action recommendations from a fixed policy.</w:t>
      </w:r>
    </w:p>
    <w:p>
      <w:r>
        <w:t>6) Quantify uncertainty and trigger human review when needed.</w:t>
      </w:r>
    </w:p>
    <w:p>
      <w:pPr>
        <w:pStyle w:val="Heading1"/>
      </w:pPr>
      <w:r>
        <w:t>3. Research Questions</w:t>
      </w:r>
    </w:p>
    <w:p>
      <w:r>
        <w:t>RQ1: How effectively do PatchCore and PaDiM localize anomalies on MVTec AD categories?</w:t>
        <w:br/>
        <w:t>RQ2: Can VLM-based defect labeling provide concise, evidence-grounded semantics without hallucination, when constrained to fixed label sets?</w:t>
        <w:br/>
        <w:t>RQ3: How does deterministic risk scoring affect decision transparency and auditability in industrial inspection pipelines?</w:t>
      </w:r>
    </w:p>
    <w:p>
      <w:pPr>
        <w:pStyle w:val="Heading1"/>
      </w:pPr>
      <w:r>
        <w:t>4. Proposed Methodology</w:t>
      </w:r>
    </w:p>
    <w:p>
      <w:r>
        <w:t>4.1 Dataset</w:t>
      </w:r>
    </w:p>
    <w:p>
      <w:r>
        <w:t>Use the MVTec AD dataset with categories bottle, cable, wood, tile, leather. Training uses defect-free images only; test images include defects and ground-truth segmentation masks (Bergmann et al., 2019; Bergmann et al., 2021).</w:t>
      </w:r>
    </w:p>
    <w:p>
      <w:r>
        <w:t>4.2 Anomaly Detection Baselines</w:t>
      </w:r>
    </w:p>
    <w:p>
      <w:r>
        <w:t>Implement PatchCore and PaDiM as strong baselines for detection and localization. PatchCore uses a memory bank of nominal patch features for outlier scoring, while PaDiM models patch embeddings with multivariate Gaussians (Roth et al., 2022; Defard et al., 2020).</w:t>
      </w:r>
    </w:p>
    <w:p>
      <w:r>
        <w:t>4.3 Semantics via VLM</w:t>
      </w:r>
    </w:p>
    <w:p>
      <w:r>
        <w:t>Integrate LLaVA for constrained defect labeling. LLaVA is a multimodal model created via visual instruction tuning, providing strong image-language reasoning (Liu et al., 2023). The LLaVA-1.6 (Mistral) release improves visual reasoning and supports higher-resolution inputs, which is useful for defect evidence extraction when constrained to fixed label sets (Liu et al., 2024).</w:t>
      </w:r>
    </w:p>
    <w:p>
      <w:r>
        <w:t>4.4 Risk Scoring and Actions</w:t>
      </w:r>
    </w:p>
    <w:p>
      <w:r>
        <w:t>Compute risk class and score using a predefined Risk Priority Matrix (RPM). The VLM does not generate risk. Action recommendations are mapped deterministically from risk class.</w:t>
      </w:r>
    </w:p>
    <w:p>
      <w:r>
        <w:t>4.5 Uncertainty and Human Review</w:t>
      </w:r>
    </w:p>
    <w:p>
      <w:r>
        <w:t>Combine anomaly model confidence with VLM confidence. Trigger human review when confidence is low or labels are unknown.</w:t>
      </w:r>
    </w:p>
    <w:p>
      <w:pPr>
        <w:pStyle w:val="Heading1"/>
      </w:pPr>
      <w:r>
        <w:t>5. System Architecture</w:t>
      </w:r>
    </w:p>
    <w:p>
      <w:r>
        <w:t>The pipeline is modular: data loader → anomaly model → post-processing → VLM semantics → risk module → action policy → uncertainty module → reporting. A FastAPI server provides a user camera UI and admin upload UI.</w:t>
      </w:r>
    </w:p>
    <w:p>
      <w:pPr>
        <w:pStyle w:val="Heading1"/>
      </w:pPr>
      <w:r>
        <w:t>6. Evaluation Plan</w:t>
      </w:r>
    </w:p>
    <w:p>
      <w:r>
        <w:t>Image-level: AUROC, AP, F1 at selected thresholds.</w:t>
      </w:r>
    </w:p>
    <w:p>
      <w:r>
        <w:t>Pixel-level: AUROC, PRO, IoU/F1 for masks.</w:t>
      </w:r>
    </w:p>
    <w:p>
      <w:r>
        <w:t>Calibration: ECE or confidence-threshold analysis.</w:t>
      </w:r>
    </w:p>
    <w:p>
      <w:r>
        <w:t>Compare PatchCore and PaDiM on category subsets; analyze sensitivity to thresholding and ROI.</w:t>
      </w:r>
    </w:p>
    <w:p>
      <w:pPr>
        <w:pStyle w:val="Heading1"/>
      </w:pPr>
      <w:r>
        <w:t>7. Ethical, Safety, and Risk Considerations</w:t>
      </w:r>
    </w:p>
    <w:p>
      <w:r>
        <w:t>The system avoids hallucinated risk by using deterministic RPM lookup. Human review is required under uncertainty to reduce unsafe automation. Data usage follows dataset licensing and attribution requirements.</w:t>
      </w:r>
    </w:p>
    <w:p>
      <w:pPr>
        <w:pStyle w:val="Heading1"/>
      </w:pPr>
      <w:r>
        <w:t>8. Project Plan (Summary)</w:t>
      </w:r>
    </w:p>
    <w:p>
      <w:r>
        <w:t>Phase 1: Baseline pipeline and evaluation setup.</w:t>
        <w:br/>
        <w:t>Phase 2: PatchCore/PaDiM integration and localization metrics.</w:t>
        <w:br/>
        <w:t>Phase 3: VLM semantics with constrained label sets.</w:t>
        <w:br/>
        <w:t>Phase 4: Risk scoring, action policy, uncertainty analysis.</w:t>
        <w:br/>
        <w:t>Phase 5: Final evaluation, reporting, and dissertation writing.</w:t>
      </w:r>
    </w:p>
    <w:p>
      <w:pPr>
        <w:pStyle w:val="Heading1"/>
      </w:pPr>
      <w:r>
        <w:t>9. Expected Contributions</w:t>
      </w:r>
    </w:p>
    <w:p>
      <w:r>
        <w:t>1) A reproducible, modular inspection pipeline with interpretable outputs.</w:t>
        <w:br/>
        <w:t>2) Empirical comparison of anomaly detection baselines on selected MVTec AD categories.</w:t>
        <w:br/>
        <w:t>3) A safety-aligned risk scoring and action recommendation layer.</w:t>
      </w:r>
    </w:p>
    <w:p>
      <w:pPr>
        <w:pStyle w:val="Heading1"/>
      </w:pPr>
      <w:r>
        <w:t>References (Harvard Style)</w:t>
      </w:r>
    </w:p>
    <w:p>
      <w:r>
        <w:t>Bergmann, P., Fauser, M., Sattlegger, D. and Steger, C. (2019) MVTec AD — A Comprehensive Real-World Dataset for Unsupervised Anomaly Detection. Proceedings of the IEEE/CVF Conference on Computer Vision and Pattern Recognition. doi:10.1109/CVPR.2019.00982.</w:t>
      </w:r>
    </w:p>
    <w:p>
      <w:r>
        <w:t>Bergmann, P., Batzner, K., Fauser, M., Sattlegger, D. and Steger, C. (2021) The MVTec Anomaly Detection Dataset: A Comprehensive Real-World Dataset for Unsupervised Anomaly Detection. International Journal of Computer Vision, 129(4), pp.1038–1059. doi:10.1007/s11263-020-01400-4.</w:t>
      </w:r>
    </w:p>
    <w:p>
      <w:r>
        <w:t>Defard, T., Setkov, A., Loesch, A. and Audigier, R. (2020) PaDiM: a Patch Distribution Modeling Framework for Anomaly Detection and Localization. arXiv:2011.08785. doi:10.48550/arXiv.2011.08785.</w:t>
      </w:r>
    </w:p>
    <w:p>
      <w:r>
        <w:t>Roth, K., Pemula, L., Zepeda, J., Schölkopf, B., Brox, T. and Gehler, P. (2022) Towards Total Recall in Industrial Anomaly Detection. arXiv:2106.08265. doi:10.48550/arXiv.2106.08265.</w:t>
      </w:r>
    </w:p>
    <w:p>
      <w:r>
        <w:t>Liu, H., Li, C., Wu, Q. and Lee, Y.J. (2023) Visual Instruction Tuning. arXiv:2304.08485. doi:10.48550/arXiv.2304.08485.</w:t>
      </w:r>
    </w:p>
    <w:p>
      <w:r>
        <w:t>Liu, H., Li, C., Li, Y., Li, B., Zhang, Y., Shen, S. and Lee, Y.J. (2024) LLaVA-1.6 (Mistral) model card. Hugging Face. Available at: https://huggingface.co/llava-hf/llava-v1.6-mistral-7b-hf (Accessed: 9 February 2026).</w:t>
      </w:r>
    </w:p>
    <w:p>
      <w:r>
        <w:t>MVTec Software (n.d.) MVTec AD dataset page. Available at: https://www.mvtec.com/company/research/datasets/mvtec-ad (Accessed: 9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