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Chapter 5: Conclusion and Recommendations</w:t>
      </w:r>
    </w:p>
    <w:p>
      <w:pPr>
        <w:pStyle w:val="Heading1"/>
      </w:pPr>
      <w:r>
        <w:t>5.1 Summary of the main project message</w:t>
      </w:r>
    </w:p>
    <w:p>
      <w:pPr>
        <w:jc w:val="both"/>
      </w:pPr>
      <w:r>
        <w:t>This dissertation has addressed the problem of moving from model-centred anomaly detection to risk-aware industrial inspection decision support. The central message of the project is that an anomaly score is useful, but it is not by itself a complete quality-control decision. A detector can identify deviation from normal product appearance, yet further stages are required to determine where the suspected defect is located, whether the evidence can be described within an approved defect taxonomy, whether the confidence is sufficient, and whether the case should be resolved automatically or escalated to an operator.</w:t>
      </w:r>
    </w:p>
    <w:p>
      <w:pPr>
        <w:jc w:val="both"/>
      </w:pPr>
      <w:r>
        <w:t>The implemented work used the bottle, capsule and hazelnut categories of the MVTec Anomaly Detection dataset because it provides normal training images, anomalous test examples and pixel-level annotations for industrial inspection research (Bergmann et al., 2019). PatchCore and PaDiM were selected as the principal anomaly-detection architectures because both operate in a normal-only setting while modelling normality differently. PatchCore stores representative normal patch embeddings in a memory bank and scores test patches using nearest-neighbour distance, whereas PaDiM estimates position-specific multivariate Gaussian distributions and applies Mahalanobis distance to measure deviation from expected normal appearance (Defard et al., 2021; Roth et al., 2022).</w:t>
      </w:r>
    </w:p>
    <w:p>
      <w:pPr>
        <w:jc w:val="both"/>
      </w:pPr>
      <w:r>
        <w:t>The results supported PatchCore with a ResNet50 backbone as the preferred image-level architecture for the proposed framework. It gave the strongest overall balance across bottle, capsule and hazelnut and produced lower human-review demand than PaDiM in the integrated inspection pipeline. PaDiM nevertheless remained valuable as a comparative statistical baseline and as evidence that localisation behaviour can differ from image-level detection strength. This distinction was important because the dissertation did not treat model selection as a single-metric decision. Image-level performance, localisation quality, semantic uncertainty, review workload and traceability were considered together.</w:t>
      </w:r>
    </w:p>
    <w:p>
      <w:pPr>
        <w:pStyle w:val="Heading1"/>
      </w:pPr>
      <w:r>
        <w:t>5.2 Unique contribution of the project</w:t>
      </w:r>
    </w:p>
    <w:p>
      <w:pPr>
        <w:jc w:val="both"/>
      </w:pPr>
      <w:r>
        <w:t>The main contribution of the project is the development and evaluation of a prototype framework that connects one-class anomaly detection with operational quality decision support. The work does not claim to introduce a new anomaly-detection algorithm. Its contribution lies in showing how established anomaly-detection methods can be embedded into a wider inspection architecture that supports localisation, constrained interpretation, confidence handling, risk classification, human review and auditability.</w:t>
      </w:r>
    </w:p>
    <w:p>
      <w:pPr>
        <w:jc w:val="both"/>
      </w:pPr>
      <w:r>
        <w:t>For the anomaly-detection field, the project contributes an applied comparison of memory-based and distribution-based feature modelling within the same inspection pipeline. PatchCore and PaDiM were not only compared by image-level AUROC and F1-score. Their outputs were also examined after thresholding, localisation assessment, semantic interpretation and review gating. This broader evaluation showed that a model with strong image-level detection may still require separate tuning to produce usable binary masks, and that a model with useful spatial evidence may still create higher review workload if its image-level decisions or semantic confidence are weaker. This supports a more complete view of anomaly-detection performance than model ranking alone.</w:t>
      </w:r>
    </w:p>
    <w:p>
      <w:pPr>
        <w:jc w:val="both"/>
      </w:pPr>
      <w:r>
        <w:t>For industrial manufacturing, the project contributes a decision-support layer that reflects how inspection evidence may be used in practice. The implemented framework preserved the original model output, localisation evidence, semantic label, risk class, confidence values, review reasons and operator decision. PostgreSQL provided persistent audit storage, FastAPI exposed the inspection and review functions through backend routes, and NiceGUI provided an operator-facing dashboard. The dashboard linked each selected record to the annotated image, heatmap overlay, predicted mask and anomaly map, allowing the operator to assess the visual evidence before accepting, releasing or escalating a case.</w:t>
      </w:r>
    </w:p>
    <w:p>
      <w:pPr>
        <w:jc w:val="both"/>
      </w:pPr>
      <w:r>
        <w:t>A further contribution is the explicit separation of anomaly detection from final quality disposition. The prototype did not allow the detector alone to make irreversible production decisions. Instead, uncertain, unknown or high-risk cases could be withheld from automatic resolution and routed to human review. This design is consistent with the wider need for accountable AI systems in which trustworthiness, risk management and human oversight are considered during design and evaluation (NIST, 2023). The project therefore demonstrates a practical route from visual anomaly evidence to a traceable inspection workflow.</w:t>
      </w:r>
    </w:p>
    <w:p>
      <w:pPr>
        <w:pStyle w:val="Heading1"/>
      </w:pPr>
      <w:r>
        <w:t>5.3 Recommendations for future work</w:t>
      </w:r>
    </w:p>
    <w:p>
      <w:pPr>
        <w:jc w:val="both"/>
      </w:pPr>
      <w:r>
        <w:t>Future work should first validate the framework using images collected from a real manufacturing environment. MVTec AD provided a reproducible benchmark for development and comparison, but production data would introduce lighting variation, product drift, camera movement, background changes and operational noise that cannot be fully represented by a controlled benchmark. A production-facing study should therefore test the framework on live or near-live inspection images collected under realistic operating conditions.</w:t>
      </w:r>
    </w:p>
    <w:p>
      <w:pPr>
        <w:jc w:val="both"/>
      </w:pPr>
      <w:r>
        <w:t>A second recommendation is to separate threshold calibration from final testing. The localisation results showed that anomaly-map thresholding had a strong effect on IoU and Dice scores. Future work should use a dedicated validation set to select category-specific thresholds, followed by evaluation on previously unseen test data. This would provide a stronger estimate of how the localisation stage would perform outside the development dataset.</w:t>
      </w:r>
    </w:p>
    <w:p>
      <w:pPr>
        <w:jc w:val="both"/>
      </w:pPr>
      <w:r>
        <w:t>Third, the confidence-fusion strategy should be developed further. The current framework used transparent rule-based fusion to combine anomaly, localisation and semantic confidence. This was suitable for a prototype because it made review reasons explainable. However, future work should investigate formal confidence calibration and compare conservative, weighted and data-driven fusion methods. This would help determine how much automation can be safely allowed without increasing missed defects or unnecessary review workload.</w:t>
      </w:r>
    </w:p>
    <w:p>
      <w:pPr>
        <w:jc w:val="both"/>
      </w:pPr>
      <w:r>
        <w:t>Fourth, the constrained semantic taxonomy should be refined with input from manufacturing specialists. The current taxonomy reduced unsupported defect naming by allowing unknown labels when evidence was insufficient. A domain-validated taxonomy would improve the relationship between visual evidence and operational defect meaning, especially where visually similar anomalies require different quality actions.</w:t>
      </w:r>
    </w:p>
    <w:p>
      <w:pPr>
        <w:jc w:val="both"/>
      </w:pPr>
      <w:r>
        <w:t>Fifth, the operator dashboard should be evaluated with users. A formal usability study should measure review time, decision consistency, perceived clarity of visual evidence and operator trust. This would show whether the evidence-linked interface improves human decision-making compared with numerical scores or unstructured image outputs alone.</w:t>
      </w:r>
    </w:p>
    <w:p>
      <w:pPr>
        <w:jc w:val="both"/>
      </w:pPr>
      <w:r>
        <w:t>Finally, future deployment would require integration with manufacturing execution systems, programmable logic controllers or robotic handling equipment. Such integration should be preceded by safety validation, cybersecurity assessment, latency testing, failure-recovery design and long-term monitoring for data drift. These steps would move the prototype from decision-support demonstration towards a production-ready inspection system.</w:t>
      </w:r>
    </w:p>
    <w:p>
      <w:pPr>
        <w:pStyle w:val="Heading1"/>
      </w:pPr>
      <w:r>
        <w:t>5.4 Final conclusion</w:t>
      </w:r>
    </w:p>
    <w:p>
      <w:pPr>
        <w:jc w:val="both"/>
      </w:pPr>
      <w:r>
        <w:t>This dissertation has shown that one-class anomaly detection can be used as a strong foundation for industrial visual inspection, but it should not be treated as a complete decision-making system in isolation. PatchCore and PaDiM both provided useful anomaly evidence, although their different normality representations produced different detection, localisation and operational behaviours. The experimental results supported PatchCore with ResNet50 as the preferred image-level branch, while PaDiM remained useful for comparison and localisation analysis.</w:t>
      </w:r>
    </w:p>
    <w:p>
      <w:pPr>
        <w:jc w:val="both"/>
      </w:pPr>
      <w:r>
        <w:t>The broader value of the work is the integration of anomaly detection into a risk-aware inspection framework. By combining detection outputs with localisation, semantic interpretation, confidence fusion, risk rules, human-review gating and audit storage, the project demonstrates how automated visual inspection can be made more traceable and operationally meaningful. The completed prototype therefore provides a practical foundation for future work on accountable industrial anomaly detection and manufacturing quality decision support.</w:t>
      </w:r>
    </w:p>
    <w:p>
      <w:pPr>
        <w:pStyle w:val="Heading1"/>
        <w:spacing w:before="0" w:after="60"/>
      </w:pPr>
      <w:r>
        <w:t>References</w:t>
      </w:r>
    </w:p>
    <w:p>
      <w:pPr>
        <w:spacing w:after="40" w:line="240" w:lineRule="auto"/>
        <w:ind w:left="360" w:hanging="360"/>
        <w:jc w:val="both"/>
      </w:pPr>
      <w:r>
        <w:rPr>
          <w:rFonts w:ascii="Calibri" w:hAnsi="Calibri" w:eastAsia="Calibri"/>
          <w:sz w:val="21"/>
        </w:rPr>
        <w:t>Bergmann, P., Fauser, M., Sattlegger, D. and Steger, C. (2019) ‘MVTec AD—A comprehensive real-world dataset for unsupervised anomaly detection’, Proceedings of the IEEE/CVF Conference on Computer Vision and Pattern Recognition, pp. 9592–9600. doi:10.1109/CVPR.2019.00982.</w:t>
      </w:r>
    </w:p>
    <w:p>
      <w:pPr>
        <w:spacing w:after="40" w:line="240" w:lineRule="auto"/>
        <w:ind w:left="360" w:hanging="360"/>
        <w:jc w:val="both"/>
      </w:pPr>
      <w:r>
        <w:rPr>
          <w:rFonts w:ascii="Calibri" w:hAnsi="Calibri" w:eastAsia="Calibri"/>
          <w:sz w:val="21"/>
        </w:rPr>
        <w:t>Defard, T., Setkov, A., Loesch, A. and Audigier, R. (2021) ‘PaDiM: A patch distribution modeling framework for anomaly detection and localization’, in Del Bimbo, A. et al. (eds.) Pattern Recognition: ICPR International Workshops and Challenges. Lecture Notes in Computer Science, vol. 12664. Cham: Springer, pp. 475–489. doi:10.1007/978-3-030-68799-1_35.</w:t>
      </w:r>
    </w:p>
    <w:p>
      <w:pPr>
        <w:spacing w:after="40" w:line="240" w:lineRule="auto"/>
        <w:ind w:left="360" w:hanging="360"/>
        <w:jc w:val="both"/>
      </w:pPr>
      <w:r>
        <w:rPr>
          <w:rFonts w:ascii="Calibri" w:hAnsi="Calibri" w:eastAsia="Calibri"/>
          <w:sz w:val="21"/>
        </w:rPr>
        <w:t>National Institute of Standards and Technology (NIST) (2023) Artificial Intelligence Risk Management Framework (AI RMF 1.0). NIST AI 100-1. Gaithersburg, MD: U.S. Department of Commerce. doi:10.6028/NIST.AI.100-1.</w:t>
      </w:r>
    </w:p>
    <w:p>
      <w:pPr>
        <w:spacing w:after="40" w:line="240" w:lineRule="auto"/>
        <w:ind w:left="360" w:hanging="360"/>
        <w:jc w:val="both"/>
      </w:pPr>
      <w:r>
        <w:rPr>
          <w:rFonts w:ascii="Calibri" w:hAnsi="Calibri" w:eastAsia="Calibri"/>
          <w:sz w:val="21"/>
        </w:rPr>
        <w:t>Roth, K., Pemula, L., Zepeda, J., Schölkopf, B., Brox, T. and Gehler, P. (2022) ‘Towards total recall in industrial anomaly detection’, Proceedings of the IEEE/CVF Conference on Computer Vision and Pattern Recognition, pp. 14318–14328. doi:10.1109/CVPR52688.2022.01392.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Conclusion and Recommendations</dc:title>
  <dc:subject>Risk-aware industrial anomaly detection dissertation chapter</dc:subject>
  <dc:creator/>
  <cp:keywords/>
  <dc:description/>
  <cp:lastModifiedBy/>
  <cp:revision>1</cp:revision>
  <dcterms:created xsi:type="dcterms:W3CDTF">2013-12-23T23:15:00Z</dcterms:created>
  <dcterms:modified xsi:type="dcterms:W3CDTF">2013-12-23T23:15:00Z</dcterms:modified>
  <cp:category/>
</cp:coreProperties>
</file>