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B3CD2" w14:textId="77777777" w:rsidR="00E82086" w:rsidRPr="00C31ECE" w:rsidRDefault="00791FCF" w:rsidP="00C31ECE">
      <w:pPr>
        <w:rPr>
          <w:rFonts w:cs="Calibri"/>
          <w:b/>
          <w:bCs/>
          <w:sz w:val="22"/>
        </w:rPr>
      </w:pPr>
      <w:r w:rsidRPr="00C31ECE">
        <w:rPr>
          <w:rFonts w:cs="Calibri"/>
          <w:b/>
          <w:bCs/>
          <w:sz w:val="22"/>
        </w:rPr>
        <w:t>Chapter 2: Literature Review</w:t>
      </w:r>
    </w:p>
    <w:p w14:paraId="5FD90639" w14:textId="77777777" w:rsidR="00E82086" w:rsidRPr="00C31ECE" w:rsidRDefault="00791FCF" w:rsidP="00C31ECE">
      <w:pPr>
        <w:rPr>
          <w:rFonts w:cs="Calibri"/>
          <w:b/>
          <w:bCs/>
          <w:sz w:val="22"/>
        </w:rPr>
      </w:pPr>
      <w:r w:rsidRPr="00C31ECE">
        <w:rPr>
          <w:rFonts w:cs="Calibri"/>
          <w:b/>
          <w:bCs/>
          <w:sz w:val="22"/>
        </w:rPr>
        <w:t>2.1 Introduction</w:t>
      </w:r>
    </w:p>
    <w:p w14:paraId="23D0B2EB" w14:textId="77777777" w:rsidR="00E82086" w:rsidRPr="00C31ECE" w:rsidRDefault="00791FCF" w:rsidP="00C31ECE">
      <w:pPr>
        <w:rPr>
          <w:rFonts w:cs="Calibri"/>
          <w:sz w:val="22"/>
        </w:rPr>
      </w:pPr>
      <w:r w:rsidRPr="00C31ECE">
        <w:rPr>
          <w:rFonts w:cs="Calibri"/>
          <w:sz w:val="22"/>
        </w:rPr>
        <w:t xml:space="preserve">Industrial visual inspection has moved from rule-based image processing towards deep learning because handcrafted systems often require extensive redesign when product appearance, illumination or defect </w:t>
      </w:r>
      <w:r w:rsidRPr="00C31ECE">
        <w:rPr>
          <w:rFonts w:cs="Calibri"/>
          <w:sz w:val="22"/>
        </w:rPr>
        <w:t>form changes. This shift has improved the ability of inspection systems to learn complex visual patterns, but supervised approaches remain constrained by the scarcity and cost of labelled defect data. In many manufacturing settings, normal products are abu</w:t>
      </w:r>
      <w:r w:rsidRPr="00C31ECE">
        <w:rPr>
          <w:rFonts w:cs="Calibri"/>
          <w:sz w:val="22"/>
        </w:rPr>
        <w:t>ndant while defective samples are rare, diverse or previously unseen. Consequently, one-class and unsupervised anomaly detection have become important alternatives because they model normal appearance and identify deviations during inference (Czimmermann e</w:t>
      </w:r>
      <w:r w:rsidRPr="00C31ECE">
        <w:rPr>
          <w:rFonts w:cs="Calibri"/>
          <w:sz w:val="22"/>
        </w:rPr>
        <w:t>t al., 2020; Tao et al., 2022).</w:t>
      </w:r>
    </w:p>
    <w:p w14:paraId="186C9EAA" w14:textId="717FFA9D" w:rsidR="00E82086" w:rsidRDefault="00791FCF" w:rsidP="00C31ECE">
      <w:pPr>
        <w:rPr>
          <w:rFonts w:cs="Calibri"/>
          <w:sz w:val="22"/>
        </w:rPr>
      </w:pPr>
      <w:r w:rsidRPr="00C31ECE">
        <w:rPr>
          <w:rFonts w:cs="Calibri"/>
          <w:sz w:val="22"/>
        </w:rPr>
        <w:t>This chapter critically evaluates the research most relevant to the dissertation: feature-embedding anomaly detection, localisation, semantic and risk interpretation, human review and operational traceability. Its purpose is</w:t>
      </w:r>
      <w:r w:rsidRPr="00C31ECE">
        <w:rPr>
          <w:rFonts w:cs="Calibri"/>
          <w:sz w:val="22"/>
        </w:rPr>
        <w:t xml:space="preserve"> not to catalogue every anomaly-detection method, but to map the theoretical foundations of the proposed risk-aware inspection framework and identify the gap between strong benchmark performance and auditable quality-control decisions.</w:t>
      </w:r>
    </w:p>
    <w:p w14:paraId="55BE581D" w14:textId="77777777" w:rsidR="00C31ECE" w:rsidRPr="00C31ECE" w:rsidRDefault="00C31ECE" w:rsidP="00C31ECE">
      <w:pPr>
        <w:rPr>
          <w:rFonts w:cs="Calibri"/>
          <w:sz w:val="22"/>
        </w:rPr>
      </w:pPr>
    </w:p>
    <w:p w14:paraId="1A0FA991" w14:textId="77777777" w:rsidR="00E82086" w:rsidRPr="00C31ECE" w:rsidRDefault="00791FCF" w:rsidP="00C31ECE">
      <w:pPr>
        <w:rPr>
          <w:rFonts w:cs="Calibri"/>
          <w:b/>
          <w:bCs/>
          <w:sz w:val="22"/>
        </w:rPr>
      </w:pPr>
      <w:r w:rsidRPr="00C31ECE">
        <w:rPr>
          <w:rFonts w:cs="Calibri"/>
          <w:b/>
          <w:bCs/>
          <w:sz w:val="22"/>
        </w:rPr>
        <w:t>2.2 Industrial visua</w:t>
      </w:r>
      <w:r w:rsidRPr="00C31ECE">
        <w:rPr>
          <w:rFonts w:cs="Calibri"/>
          <w:b/>
          <w:bCs/>
          <w:sz w:val="22"/>
        </w:rPr>
        <w:t>l inspection and one-class anomaly detection</w:t>
      </w:r>
    </w:p>
    <w:p w14:paraId="65E8CFED" w14:textId="77777777" w:rsidR="00E82086" w:rsidRPr="00C31ECE" w:rsidRDefault="00791FCF" w:rsidP="00C31ECE">
      <w:pPr>
        <w:rPr>
          <w:rFonts w:cs="Calibri"/>
          <w:sz w:val="22"/>
        </w:rPr>
      </w:pPr>
      <w:r w:rsidRPr="00C31ECE">
        <w:rPr>
          <w:rFonts w:cs="Calibri"/>
          <w:sz w:val="22"/>
        </w:rPr>
        <w:t>Conventional machine-vision systems use explicit features such as colour, texture, edges and shape, followed by fixed thresholds or classifiers. Their transparency and low computational demand remain valuable wh</w:t>
      </w:r>
      <w:r w:rsidRPr="00C31ECE">
        <w:rPr>
          <w:rFonts w:cs="Calibri"/>
          <w:sz w:val="22"/>
        </w:rPr>
        <w:t>ere products and acquisition conditions are stable. However, the rules are usually application-specific and are sensitive to lighting variation, misalignment and legitimate changes in normal appearance (Czimmermann et al., 2020). Supervised convolutional n</w:t>
      </w:r>
      <w:r w:rsidRPr="00C31ECE">
        <w:rPr>
          <w:rFonts w:cs="Calibri"/>
          <w:sz w:val="22"/>
        </w:rPr>
        <w:t>etworks reduce dependence on manual feature design, yet they assume that the available training set adequately represents the defect classes that will occur in operation. This is a significant weakness where failures are infrequent or cannot be anticipated</w:t>
      </w:r>
      <w:r w:rsidRPr="00C31ECE">
        <w:rPr>
          <w:rFonts w:cs="Calibri"/>
          <w:sz w:val="22"/>
        </w:rPr>
        <w:t xml:space="preserve"> comprehensively.</w:t>
      </w:r>
    </w:p>
    <w:p w14:paraId="2F7DB667" w14:textId="77777777" w:rsidR="00E82086" w:rsidRPr="00C31ECE" w:rsidRDefault="00791FCF" w:rsidP="00C31ECE">
      <w:pPr>
        <w:rPr>
          <w:rFonts w:cs="Calibri"/>
          <w:sz w:val="22"/>
        </w:rPr>
      </w:pPr>
      <w:r w:rsidRPr="00C31ECE">
        <w:rPr>
          <w:rFonts w:cs="Calibri"/>
          <w:sz w:val="22"/>
        </w:rPr>
        <w:t>One-class anomaly detection offers a more appropriate theoretical basis for these conditions. It learns a description of normality and treats insufficiently supported observations as anomalous. MVTec AD established a widely used benchmark</w:t>
      </w:r>
      <w:r w:rsidRPr="00C31ECE">
        <w:rPr>
          <w:rFonts w:cs="Calibri"/>
          <w:sz w:val="22"/>
        </w:rPr>
        <w:t xml:space="preserve"> for this setting by providing defect-free training images, anomalous test images and pixel-level defect masks across industrial object and texture categories (Bergmann et al., 2019). The dataset supports separate evaluation of image-level detection and pi</w:t>
      </w:r>
      <w:r w:rsidRPr="00C31ECE">
        <w:rPr>
          <w:rFonts w:cs="Calibri"/>
          <w:sz w:val="22"/>
        </w:rPr>
        <w:t>xel-level localisation, although benchmark performance should not be equated with deployment readiness because real production conditions may involve camera drift, changing illumination and broader normal variation.</w:t>
      </w:r>
    </w:p>
    <w:p w14:paraId="04CB5833" w14:textId="02472CC7" w:rsidR="00E82086" w:rsidRDefault="00791FCF" w:rsidP="00C31ECE">
      <w:pPr>
        <w:rPr>
          <w:rFonts w:cs="Calibri"/>
          <w:sz w:val="22"/>
        </w:rPr>
      </w:pPr>
      <w:r w:rsidRPr="00C31ECE">
        <w:rPr>
          <w:rFonts w:cs="Calibri"/>
          <w:sz w:val="22"/>
        </w:rPr>
        <w:t xml:space="preserve">The current literature groups one-class </w:t>
      </w:r>
      <w:r w:rsidRPr="00C31ECE">
        <w:rPr>
          <w:rFonts w:cs="Calibri"/>
          <w:sz w:val="22"/>
        </w:rPr>
        <w:t>methods into reconstruction-, boundary-, distribution- and feature-embedding-based approaches. Reconstruction methods infer anomalies from failure to reproduce normal images, but expressive decoders may also reconstruct defects. Feature-embedding approache</w:t>
      </w:r>
      <w:r w:rsidRPr="00C31ECE">
        <w:rPr>
          <w:rFonts w:cs="Calibri"/>
          <w:sz w:val="22"/>
        </w:rPr>
        <w:t>s instead compare representations extracted by pre-trained convolutional networks. They have become prominent because local patch features preserve small defect evidence that may be diluted in a global image representation, while avoiding the need to train</w:t>
      </w:r>
      <w:r w:rsidRPr="00C31ECE">
        <w:rPr>
          <w:rFonts w:cs="Calibri"/>
          <w:sz w:val="22"/>
        </w:rPr>
        <w:t xml:space="preserve"> a large network from the limited industrial dataset (Tao et al., 2022; Liu et al., 2024).</w:t>
      </w:r>
    </w:p>
    <w:p w14:paraId="7F8D7268" w14:textId="77777777" w:rsidR="00C31ECE" w:rsidRPr="00C31ECE" w:rsidRDefault="00C31ECE" w:rsidP="00C31ECE">
      <w:pPr>
        <w:rPr>
          <w:rFonts w:cs="Calibri"/>
          <w:sz w:val="22"/>
        </w:rPr>
      </w:pPr>
    </w:p>
    <w:p w14:paraId="08035AA6" w14:textId="77777777" w:rsidR="00E82086" w:rsidRPr="00C31ECE" w:rsidRDefault="00791FCF" w:rsidP="00C31ECE">
      <w:pPr>
        <w:rPr>
          <w:rFonts w:cs="Calibri"/>
          <w:b/>
          <w:bCs/>
          <w:sz w:val="22"/>
        </w:rPr>
      </w:pPr>
      <w:r w:rsidRPr="00C31ECE">
        <w:rPr>
          <w:rFonts w:cs="Calibri"/>
          <w:b/>
          <w:bCs/>
          <w:sz w:val="22"/>
        </w:rPr>
        <w:t>2.3 Theoretical framework: PatchCore and PaDiM</w:t>
      </w:r>
    </w:p>
    <w:p w14:paraId="03B935AD" w14:textId="77777777" w:rsidR="00E82086" w:rsidRPr="00C31ECE" w:rsidRDefault="00791FCF" w:rsidP="00C31ECE">
      <w:pPr>
        <w:rPr>
          <w:rFonts w:cs="Calibri"/>
          <w:sz w:val="22"/>
        </w:rPr>
      </w:pPr>
      <w:r w:rsidRPr="00C31ECE">
        <w:rPr>
          <w:rFonts w:cs="Calibri"/>
          <w:sz w:val="22"/>
        </w:rPr>
        <w:t>The dissertation compares PatchCore and PaDiM because they embody two distinct theories of normality within the same f</w:t>
      </w:r>
      <w:r w:rsidRPr="00C31ECE">
        <w:rPr>
          <w:rFonts w:cs="Calibri"/>
          <w:sz w:val="22"/>
        </w:rPr>
        <w:t>eature-embedding framework. Both use pre-trained CNN backbones and generate an image-level anomaly score and a spatial anomaly map, but they differ in how normal patch embeddings are represented.</w:t>
      </w:r>
    </w:p>
    <w:p w14:paraId="734CD721" w14:textId="77777777" w:rsidR="00E82086" w:rsidRPr="00C31ECE" w:rsidRDefault="00791FCF" w:rsidP="00C31ECE">
      <w:pPr>
        <w:rPr>
          <w:rFonts w:cs="Calibri"/>
          <w:sz w:val="22"/>
        </w:rPr>
      </w:pPr>
      <w:r w:rsidRPr="00C31ECE">
        <w:rPr>
          <w:rFonts w:cs="Calibri"/>
          <w:sz w:val="22"/>
        </w:rPr>
        <w:t>PatchCore adopts an instance-based interpretation. It stores</w:t>
      </w:r>
      <w:r w:rsidRPr="00C31ECE">
        <w:rPr>
          <w:rFonts w:cs="Calibri"/>
          <w:sz w:val="22"/>
        </w:rPr>
        <w:t xml:space="preserve"> representative normal patch embeddings in a coreset memory bank and scores each test patch by its nearest-neighbour distance from that bank </w:t>
      </w:r>
      <w:r w:rsidRPr="00C31ECE">
        <w:rPr>
          <w:rFonts w:cs="Calibri"/>
          <w:sz w:val="22"/>
        </w:rPr>
        <w:lastRenderedPageBreak/>
        <w:t>(Roth et al., 2022). Its main strength is that it can retain several valid modes of normal appearance without forci</w:t>
      </w:r>
      <w:r w:rsidRPr="00C31ECE">
        <w:rPr>
          <w:rFonts w:cs="Calibri"/>
          <w:sz w:val="22"/>
        </w:rPr>
        <w:t>ng them into a single parametric distribution. Coreset selection limits memory and search cost, although aggressive reduction may remove uncommon but acceptable normal patterns. PatchCore may also be sensitive to isolated responses, and its localisation qu</w:t>
      </w:r>
      <w:r w:rsidRPr="00C31ECE">
        <w:rPr>
          <w:rFonts w:cs="Calibri"/>
          <w:sz w:val="22"/>
        </w:rPr>
        <w:t>ality depends on the spatial resolution and thresholding of the anomaly map.</w:t>
      </w:r>
    </w:p>
    <w:p w14:paraId="65E61069" w14:textId="77777777" w:rsidR="00E82086" w:rsidRPr="00C31ECE" w:rsidRDefault="00791FCF" w:rsidP="00C31ECE">
      <w:pPr>
        <w:rPr>
          <w:rFonts w:cs="Calibri"/>
          <w:sz w:val="22"/>
        </w:rPr>
      </w:pPr>
      <w:r w:rsidRPr="00C31ECE">
        <w:rPr>
          <w:rFonts w:cs="Calibri"/>
          <w:sz w:val="22"/>
        </w:rPr>
        <w:t>PaDiM adopts a distributional and position-specific interpretation. At each feature-map location, it estimates the mean and covariance of normal embeddings and uses Mahalanobis di</w:t>
      </w:r>
      <w:r w:rsidRPr="00C31ECE">
        <w:rPr>
          <w:rFonts w:cs="Calibri"/>
          <w:sz w:val="22"/>
        </w:rPr>
        <w:t>stance to score a test feature against the expected local distribution (Defard et al., 2021). This produces a compact model that includes correlations among feature dimensions and can be effective when products are consistently aligned. Its limitations fol</w:t>
      </w:r>
      <w:r w:rsidRPr="00C31ECE">
        <w:rPr>
          <w:rFonts w:cs="Calibri"/>
          <w:sz w:val="22"/>
        </w:rPr>
        <w:t>low from the same assumptions: one Gaussian may not represent multimodal normal variation, covariance estimation becomes demanding in high dimensions, and benign positional changes may be treated as anomalous.</w:t>
      </w:r>
    </w:p>
    <w:p w14:paraId="46107D10" w14:textId="706AEEC0" w:rsidR="00E82086" w:rsidRDefault="00791FCF" w:rsidP="00C31ECE">
      <w:pPr>
        <w:rPr>
          <w:rFonts w:cs="Calibri"/>
          <w:sz w:val="22"/>
        </w:rPr>
      </w:pPr>
      <w:r w:rsidRPr="00C31ECE">
        <w:rPr>
          <w:rFonts w:cs="Calibri"/>
          <w:sz w:val="22"/>
        </w:rPr>
        <w:t>Neither architecture is theoretically superior</w:t>
      </w:r>
      <w:r w:rsidRPr="00C31ECE">
        <w:rPr>
          <w:rFonts w:cs="Calibri"/>
          <w:sz w:val="22"/>
        </w:rPr>
        <w:t xml:space="preserve"> in every setting. PatchCore offers flexible coverage of normal variation but retains a memory-search requirement; PaDiM compresses normality statistically but depends more strongly on distributional and spatial assumptions. The literature therefore suppor</w:t>
      </w:r>
      <w:r w:rsidRPr="00C31ECE">
        <w:rPr>
          <w:rFonts w:cs="Calibri"/>
          <w:sz w:val="22"/>
        </w:rPr>
        <w:t>ts empirical comparison rather than model selection by reputation alone. This aligns with the dissertation's architecture experiments using alternative backbones and product categories. The comparison also recognises that image-level classification and pix</w:t>
      </w:r>
      <w:r w:rsidRPr="00C31ECE">
        <w:rPr>
          <w:rFonts w:cs="Calibri"/>
          <w:sz w:val="22"/>
        </w:rPr>
        <w:t xml:space="preserve">el-level localisation are separate capabilities: a model may rank anomalous images accurately while producing diffuse or poorly </w:t>
      </w:r>
      <w:proofErr w:type="spellStart"/>
      <w:r w:rsidRPr="00C31ECE">
        <w:rPr>
          <w:rFonts w:cs="Calibri"/>
          <w:sz w:val="22"/>
        </w:rPr>
        <w:t>thresholded</w:t>
      </w:r>
      <w:proofErr w:type="spellEnd"/>
      <w:r w:rsidRPr="00C31ECE">
        <w:rPr>
          <w:rFonts w:cs="Calibri"/>
          <w:sz w:val="22"/>
        </w:rPr>
        <w:t xml:space="preserve"> masks.</w:t>
      </w:r>
    </w:p>
    <w:p w14:paraId="51562CF7" w14:textId="77777777" w:rsidR="00C31ECE" w:rsidRPr="00C31ECE" w:rsidRDefault="00C31ECE" w:rsidP="00C31ECE">
      <w:pPr>
        <w:rPr>
          <w:rFonts w:cs="Calibri"/>
          <w:sz w:val="22"/>
        </w:rPr>
      </w:pPr>
    </w:p>
    <w:p w14:paraId="019A9E64" w14:textId="77777777" w:rsidR="00E82086" w:rsidRPr="00C31ECE" w:rsidRDefault="00791FCF" w:rsidP="00C31ECE">
      <w:pPr>
        <w:rPr>
          <w:rFonts w:cs="Calibri"/>
          <w:b/>
          <w:bCs/>
          <w:sz w:val="22"/>
        </w:rPr>
      </w:pPr>
      <w:r w:rsidRPr="00C31ECE">
        <w:rPr>
          <w:rFonts w:cs="Calibri"/>
          <w:b/>
          <w:bCs/>
          <w:sz w:val="22"/>
        </w:rPr>
        <w:t>2.4 From anomaly evidence to risk-aware inspection</w:t>
      </w:r>
    </w:p>
    <w:p w14:paraId="23BB120F" w14:textId="77777777" w:rsidR="00E82086" w:rsidRPr="00C31ECE" w:rsidRDefault="00791FCF" w:rsidP="00C31ECE">
      <w:pPr>
        <w:rPr>
          <w:rFonts w:cs="Calibri"/>
          <w:sz w:val="22"/>
        </w:rPr>
      </w:pPr>
      <w:r w:rsidRPr="00C31ECE">
        <w:rPr>
          <w:rFonts w:cs="Calibri"/>
          <w:sz w:val="22"/>
        </w:rPr>
        <w:t>Anomaly detection does not by itself provide a complete qu</w:t>
      </w:r>
      <w:r w:rsidRPr="00C31ECE">
        <w:rPr>
          <w:rFonts w:cs="Calibri"/>
          <w:sz w:val="22"/>
        </w:rPr>
        <w:t>ality decision. A continuous anomaly map must be resized, normalised and thresholded before it becomes a binary localisation mask. Threshold choice can alter the balance between missed defects and false regions, meaning that localisation performance is par</w:t>
      </w:r>
      <w:r w:rsidRPr="00C31ECE">
        <w:rPr>
          <w:rFonts w:cs="Calibri"/>
          <w:sz w:val="22"/>
        </w:rPr>
        <w:t>tly a property of post-processing rather than only of the detector. The use of IoU and Dice therefore provides evidence about spatial agreement, but low scores for small or thin defects may also reflect boundary sensitivity rather than complete localisatio</w:t>
      </w:r>
      <w:r w:rsidRPr="00C31ECE">
        <w:rPr>
          <w:rFonts w:cs="Calibri"/>
          <w:sz w:val="22"/>
        </w:rPr>
        <w:t>n failure.</w:t>
      </w:r>
    </w:p>
    <w:p w14:paraId="5AB097F9" w14:textId="77777777" w:rsidR="00E82086" w:rsidRPr="00C31ECE" w:rsidRDefault="00791FCF" w:rsidP="00C31ECE">
      <w:pPr>
        <w:rPr>
          <w:rFonts w:cs="Calibri"/>
          <w:sz w:val="22"/>
        </w:rPr>
      </w:pPr>
      <w:r w:rsidRPr="00C31ECE">
        <w:rPr>
          <w:rFonts w:cs="Calibri"/>
          <w:sz w:val="22"/>
        </w:rPr>
        <w:t xml:space="preserve">A further limitation is semantic. PatchCore and PaDiM establish deviation from learned normality, not the physical identity or consequence of the deviation. A high anomaly score may reflect a scratch, contamination, deformation, misalignment or </w:t>
      </w:r>
      <w:r w:rsidRPr="00C31ECE">
        <w:rPr>
          <w:rFonts w:cs="Calibri"/>
          <w:sz w:val="22"/>
        </w:rPr>
        <w:t>acceptable variation. Structural anomalies can often be represented by local heatmaps, whereas logical anomalies may involve incorrect quantity or arrangement of otherwise normal components (Bergmann et al., 2022). This supports a separate semantic layer w</w:t>
      </w:r>
      <w:r w:rsidRPr="00C31ECE">
        <w:rPr>
          <w:rFonts w:cs="Calibri"/>
          <w:sz w:val="22"/>
        </w:rPr>
        <w:t>ith a constrained defect taxonomy and an explicit unknown state, rather than forcing every anomaly into an unsupported class.</w:t>
      </w:r>
    </w:p>
    <w:p w14:paraId="43C31E96" w14:textId="77777777" w:rsidR="00E82086" w:rsidRPr="00C31ECE" w:rsidRDefault="00791FCF" w:rsidP="00C31ECE">
      <w:pPr>
        <w:rPr>
          <w:rFonts w:cs="Calibri"/>
          <w:sz w:val="22"/>
        </w:rPr>
      </w:pPr>
      <w:r w:rsidRPr="00C31ECE">
        <w:rPr>
          <w:rFonts w:cs="Calibri"/>
          <w:sz w:val="22"/>
        </w:rPr>
        <w:t>Risk is also distinct from anomaly magnitude. A visually obvious but superficial mark may have little functional significance, whi</w:t>
      </w:r>
      <w:r w:rsidRPr="00C31ECE">
        <w:rPr>
          <w:rFonts w:cs="Calibri"/>
          <w:sz w:val="22"/>
        </w:rPr>
        <w:t>le a small defect in a critical location may justify escalation. The proposed framework therefore maps supported semantic labels to deterministic risk and quality-disposition rules instead of treating the detector score as a direct measure of severity. Low</w:t>
      </w:r>
      <w:r w:rsidRPr="00C31ECE">
        <w:rPr>
          <w:rFonts w:cs="Calibri"/>
          <w:sz w:val="22"/>
        </w:rPr>
        <w:t>-confidence, unknown or high-risk cases are routed for human review.</w:t>
      </w:r>
    </w:p>
    <w:p w14:paraId="2F792AAC" w14:textId="77777777" w:rsidR="00E82086" w:rsidRPr="00C31ECE" w:rsidRDefault="00791FCF" w:rsidP="00C31ECE">
      <w:pPr>
        <w:rPr>
          <w:rFonts w:cs="Calibri"/>
          <w:sz w:val="22"/>
        </w:rPr>
      </w:pPr>
      <w:r w:rsidRPr="00C31ECE">
        <w:rPr>
          <w:rFonts w:cs="Calibri"/>
          <w:sz w:val="22"/>
        </w:rPr>
        <w:t>Human oversight is valuable only when the operator receives sufficient evidence and the intervention is recorded. Human-AI interaction research emphasises communicating system limitations</w:t>
      </w:r>
      <w:r w:rsidRPr="00C31ECE">
        <w:rPr>
          <w:rFonts w:cs="Calibri"/>
          <w:sz w:val="22"/>
        </w:rPr>
        <w:t xml:space="preserve">, presenting reasons for recommendations and enabling correction (Amershi et al., 2019). In the proposed framework, the review panel links the original image, heatmap, predicted mask, confidence components, risk rationale and automated recommendation. The </w:t>
      </w:r>
      <w:r w:rsidRPr="00C31ECE">
        <w:rPr>
          <w:rFonts w:cs="Calibri"/>
          <w:sz w:val="22"/>
        </w:rPr>
        <w:t>operator decision is stored separately from the original model output, preserving disagreement for later analysis.</w:t>
      </w:r>
    </w:p>
    <w:p w14:paraId="5666DB94" w14:textId="7207EB40" w:rsidR="00E82086" w:rsidRDefault="00791FCF" w:rsidP="00C31ECE">
      <w:pPr>
        <w:rPr>
          <w:rFonts w:cs="Calibri"/>
          <w:sz w:val="22"/>
        </w:rPr>
      </w:pPr>
      <w:r w:rsidRPr="00C31ECE">
        <w:rPr>
          <w:rFonts w:cs="Calibri"/>
          <w:sz w:val="22"/>
        </w:rPr>
        <w:t>Traceability is equally important. NIST's AI Risk Management Framework treats governance, documentation and monitoring as continuing responsi</w:t>
      </w:r>
      <w:r w:rsidRPr="00C31ECE">
        <w:rPr>
          <w:rFonts w:cs="Calibri"/>
          <w:sz w:val="22"/>
        </w:rPr>
        <w:t xml:space="preserve">bilities rather than additions made after model development (NIST, 2023). Similarly, Sculley et al. (2015) show that operational machine-learning </w:t>
      </w:r>
      <w:r w:rsidRPr="00C31ECE">
        <w:rPr>
          <w:rFonts w:cs="Calibri"/>
          <w:sz w:val="22"/>
        </w:rPr>
        <w:lastRenderedPageBreak/>
        <w:t xml:space="preserve">reliability depends on data, configuration and surrounding software as well as model code. These perspectives </w:t>
      </w:r>
      <w:r w:rsidRPr="00C31ECE">
        <w:rPr>
          <w:rFonts w:cs="Calibri"/>
          <w:sz w:val="22"/>
        </w:rPr>
        <w:t>justify the project's PostgreSQL audit database, API and dashboard, which connect model outputs, rules, reviews and final dispositions within one traceable workflow.</w:t>
      </w:r>
    </w:p>
    <w:p w14:paraId="34D8E931" w14:textId="77777777" w:rsidR="00C31ECE" w:rsidRPr="00C31ECE" w:rsidRDefault="00C31ECE" w:rsidP="00C31ECE">
      <w:pPr>
        <w:rPr>
          <w:rFonts w:cs="Calibri"/>
          <w:sz w:val="22"/>
        </w:rPr>
      </w:pPr>
    </w:p>
    <w:p w14:paraId="4302A777" w14:textId="77777777" w:rsidR="00E82086" w:rsidRPr="00C31ECE" w:rsidRDefault="00791FCF" w:rsidP="00C31ECE">
      <w:pPr>
        <w:rPr>
          <w:rFonts w:cs="Calibri"/>
          <w:b/>
          <w:bCs/>
          <w:sz w:val="22"/>
        </w:rPr>
      </w:pPr>
      <w:r w:rsidRPr="00C31ECE">
        <w:rPr>
          <w:rFonts w:cs="Calibri"/>
          <w:b/>
          <w:bCs/>
          <w:sz w:val="22"/>
        </w:rPr>
        <w:t>2.5 Research gap and alignment with the proposed study</w:t>
      </w:r>
    </w:p>
    <w:p w14:paraId="57DF4CE2" w14:textId="77777777" w:rsidR="00E82086" w:rsidRPr="00C31ECE" w:rsidRDefault="00791FCF" w:rsidP="00C31ECE">
      <w:pPr>
        <w:rPr>
          <w:rFonts w:cs="Calibri"/>
          <w:sz w:val="22"/>
        </w:rPr>
      </w:pPr>
      <w:r w:rsidRPr="00C31ECE">
        <w:rPr>
          <w:rFonts w:cs="Calibri"/>
          <w:sz w:val="22"/>
        </w:rPr>
        <w:t>The reviewed literature demonstrate</w:t>
      </w:r>
      <w:r w:rsidRPr="00C31ECE">
        <w:rPr>
          <w:rFonts w:cs="Calibri"/>
          <w:sz w:val="22"/>
        </w:rPr>
        <w:t>s strong progress in normal-only industrial anomaly detection, particularly on controlled benchmarks. However, three connected gaps remain.</w:t>
      </w:r>
    </w:p>
    <w:p w14:paraId="2C954CF9" w14:textId="77777777" w:rsidR="00E82086" w:rsidRPr="00C31ECE" w:rsidRDefault="00791FCF" w:rsidP="00C31ECE">
      <w:pPr>
        <w:rPr>
          <w:rFonts w:cs="Calibri"/>
          <w:sz w:val="22"/>
        </w:rPr>
      </w:pPr>
      <w:r w:rsidRPr="00C31ECE">
        <w:rPr>
          <w:rFonts w:cs="Calibri"/>
          <w:sz w:val="22"/>
        </w:rPr>
        <w:t>First, evaluation is predominantly model-centred. AUROC, F1-score and localisation metrics are necessary, but they d</w:t>
      </w:r>
      <w:r w:rsidRPr="00C31ECE">
        <w:rPr>
          <w:rFonts w:cs="Calibri"/>
          <w:sz w:val="22"/>
        </w:rPr>
        <w:t>o not show how many records require manual review, why cases are escalated or whether a prediction can support a defensible quality action. Second, detection, semantic interpretation and risk are often treated separately. A detector can identify visual dev</w:t>
      </w:r>
      <w:r w:rsidRPr="00C31ECE">
        <w:rPr>
          <w:rFonts w:cs="Calibri"/>
          <w:sz w:val="22"/>
        </w:rPr>
        <w:t>iation without establishing defect meaning or operational consequence. Third, visual explanations are commonly presented without a persistent record of the configuration, threshold, risk rule and human decision that produced the final outcome.</w:t>
      </w:r>
    </w:p>
    <w:p w14:paraId="76B6C23F" w14:textId="77777777" w:rsidR="00E82086" w:rsidRPr="00C31ECE" w:rsidRDefault="00791FCF" w:rsidP="00C31ECE">
      <w:pPr>
        <w:rPr>
          <w:rFonts w:cs="Calibri"/>
          <w:sz w:val="22"/>
        </w:rPr>
      </w:pPr>
      <w:r w:rsidRPr="00C31ECE">
        <w:rPr>
          <w:rFonts w:cs="Calibri"/>
          <w:sz w:val="22"/>
        </w:rPr>
        <w:t>The disserta</w:t>
      </w:r>
      <w:r w:rsidRPr="00C31ECE">
        <w:rPr>
          <w:rFonts w:cs="Calibri"/>
          <w:sz w:val="22"/>
        </w:rPr>
        <w:t>tion addresses these gaps by integrating comparative PatchCore and PaDiM detection with localisation post-processing, constrained semantic interpretation, confidence fusion, deterministic risk classification, human-review gating and persistent audit storag</w:t>
      </w:r>
      <w:r w:rsidRPr="00C31ECE">
        <w:rPr>
          <w:rFonts w:cs="Calibri"/>
          <w:sz w:val="22"/>
        </w:rPr>
        <w:t>e. Its contribution is therefore not a new anomaly architecture. It is the design and evaluation of a risk-aware inspection pipeline that examines both technical performance and operational decision behaviour. The proposed study compares image-level detect</w:t>
      </w:r>
      <w:r w:rsidRPr="00C31ECE">
        <w:rPr>
          <w:rFonts w:cs="Calibri"/>
          <w:sz w:val="22"/>
        </w:rPr>
        <w:t>ion and localisation, measures review workload, preserves evidence for operator decisions and demonstrates the framework through a PostgreSQL-backed FastAPI and NiceGUI application.</w:t>
      </w:r>
    </w:p>
    <w:p w14:paraId="5C46EA43" w14:textId="77777777" w:rsidR="00E82086" w:rsidRPr="00C31ECE" w:rsidRDefault="00791FCF" w:rsidP="00C31ECE">
      <w:pPr>
        <w:rPr>
          <w:rFonts w:cs="Calibri"/>
          <w:sz w:val="22"/>
        </w:rPr>
      </w:pPr>
      <w:r w:rsidRPr="00C31ECE">
        <w:rPr>
          <w:rFonts w:cs="Calibri"/>
          <w:sz w:val="22"/>
        </w:rPr>
        <w:t>This positioning also defines the limits of the work. The system is a prot</w:t>
      </w:r>
      <w:r w:rsidRPr="00C31ECE">
        <w:rPr>
          <w:rFonts w:cs="Calibri"/>
          <w:sz w:val="22"/>
        </w:rPr>
        <w:t>otype decision-support framework rather than a validated production-line controller. Real deployment would require independent threshold calibration, broader data, usability testing, drift monitoring, latency evaluation and safety validation before connect</w:t>
      </w:r>
      <w:r w:rsidRPr="00C31ECE">
        <w:rPr>
          <w:rFonts w:cs="Calibri"/>
          <w:sz w:val="22"/>
        </w:rPr>
        <w:t>ion to physical reject or sorting equipment.</w:t>
      </w:r>
    </w:p>
    <w:p w14:paraId="583814DC" w14:textId="77777777" w:rsidR="00675FD3" w:rsidRDefault="00675FD3" w:rsidP="00C31ECE">
      <w:pPr>
        <w:rPr>
          <w:rFonts w:cs="Calibri"/>
          <w:sz w:val="22"/>
        </w:rPr>
      </w:pPr>
    </w:p>
    <w:p w14:paraId="3EE758D2" w14:textId="7C6F630E" w:rsidR="00E82086" w:rsidRPr="00675FD3" w:rsidRDefault="00791FCF" w:rsidP="00C31ECE">
      <w:pPr>
        <w:rPr>
          <w:rFonts w:cs="Calibri"/>
          <w:b/>
          <w:bCs/>
          <w:sz w:val="22"/>
        </w:rPr>
      </w:pPr>
      <w:r w:rsidRPr="00675FD3">
        <w:rPr>
          <w:rFonts w:cs="Calibri"/>
          <w:b/>
          <w:bCs/>
          <w:sz w:val="22"/>
        </w:rPr>
        <w:t>References</w:t>
      </w:r>
    </w:p>
    <w:p w14:paraId="4C473C6A" w14:textId="77777777" w:rsidR="00E82086" w:rsidRPr="00C31ECE" w:rsidRDefault="00791FCF" w:rsidP="00C31ECE">
      <w:pPr>
        <w:rPr>
          <w:rFonts w:cs="Calibri"/>
          <w:sz w:val="22"/>
        </w:rPr>
      </w:pPr>
      <w:r w:rsidRPr="00C31ECE">
        <w:rPr>
          <w:rFonts w:cs="Calibri"/>
          <w:sz w:val="22"/>
        </w:rPr>
        <w:t xml:space="preserve">Amershi, S., Weld, D., Vorvoreanu, M., Fourney, A., Nushi, B., Collisson, P., Suh, J., Iqbal, S., Bennett, P.N., Inkpen, K., Teevan, J., Kikin-Gil, R. and Horvitz, E. (2019) </w:t>
      </w:r>
      <w:r w:rsidRPr="00C31ECE">
        <w:rPr>
          <w:rFonts w:cs="Calibri"/>
          <w:sz w:val="22"/>
        </w:rPr>
        <w:t>'Guidelines for human-AI interaction', Proceedings of the 2019 CHI Conference on Human Factors in Computing Systems, paper 3, pp. 1-13.</w:t>
      </w:r>
    </w:p>
    <w:p w14:paraId="63E59D53" w14:textId="77777777" w:rsidR="00E82086" w:rsidRPr="00C31ECE" w:rsidRDefault="00791FCF" w:rsidP="00C31ECE">
      <w:pPr>
        <w:rPr>
          <w:rFonts w:cs="Calibri"/>
          <w:sz w:val="22"/>
        </w:rPr>
      </w:pPr>
      <w:r w:rsidRPr="00C31ECE">
        <w:rPr>
          <w:rFonts w:cs="Calibri"/>
          <w:sz w:val="22"/>
        </w:rPr>
        <w:t>Bergmann, P., Fauser, M., Sattlegger, D. and Steger, C. (2019) 'MVTec AD - A comprehensive real-world dataset for unsupe</w:t>
      </w:r>
      <w:r w:rsidRPr="00C31ECE">
        <w:rPr>
          <w:rFonts w:cs="Calibri"/>
          <w:sz w:val="22"/>
        </w:rPr>
        <w:t>rvised anomaly detection', Proceedings of the IEEE/CVF Conference on Computer Vision and Pattern Recognition, pp. 9592-9600.</w:t>
      </w:r>
    </w:p>
    <w:p w14:paraId="7AD16BCA" w14:textId="77777777" w:rsidR="00E82086" w:rsidRPr="00C31ECE" w:rsidRDefault="00791FCF" w:rsidP="00C31ECE">
      <w:pPr>
        <w:rPr>
          <w:rFonts w:cs="Calibri"/>
          <w:sz w:val="22"/>
        </w:rPr>
      </w:pPr>
      <w:r w:rsidRPr="00C31ECE">
        <w:rPr>
          <w:rFonts w:cs="Calibri"/>
          <w:sz w:val="22"/>
        </w:rPr>
        <w:t>Bergmann, P., Batzner, K., Fauser, M., Sattlegger, D. and Steger, C. (2022) 'Beyond dents and scratches: Logical constraints in uns</w:t>
      </w:r>
      <w:r w:rsidRPr="00C31ECE">
        <w:rPr>
          <w:rFonts w:cs="Calibri"/>
          <w:sz w:val="22"/>
        </w:rPr>
        <w:t>upervised anomaly detection and localization', International Journal of Computer Vision, 130(4), pp. 947-969.</w:t>
      </w:r>
    </w:p>
    <w:p w14:paraId="4F212123" w14:textId="77777777" w:rsidR="00E82086" w:rsidRPr="00C31ECE" w:rsidRDefault="00791FCF" w:rsidP="00C31ECE">
      <w:pPr>
        <w:rPr>
          <w:rFonts w:cs="Calibri"/>
          <w:sz w:val="22"/>
        </w:rPr>
      </w:pPr>
      <w:r w:rsidRPr="00C31ECE">
        <w:rPr>
          <w:rFonts w:cs="Calibri"/>
          <w:sz w:val="22"/>
        </w:rPr>
        <w:t>Czimmermann, T., Ciuti, G., Milazzo, M., Chiurazzi, M., Roccella, S., Oddo, C.M. and Dario, P. (2020) 'Visual-based defect detection and classific</w:t>
      </w:r>
      <w:r w:rsidRPr="00C31ECE">
        <w:rPr>
          <w:rFonts w:cs="Calibri"/>
          <w:sz w:val="22"/>
        </w:rPr>
        <w:t>ation approaches for industrial applications - A survey', Sensors, 20(5), article 1459.</w:t>
      </w:r>
    </w:p>
    <w:p w14:paraId="45012630" w14:textId="77777777" w:rsidR="00E82086" w:rsidRPr="00C31ECE" w:rsidRDefault="00791FCF" w:rsidP="00C31ECE">
      <w:pPr>
        <w:rPr>
          <w:rFonts w:cs="Calibri"/>
          <w:sz w:val="22"/>
        </w:rPr>
      </w:pPr>
      <w:r w:rsidRPr="00C31ECE">
        <w:rPr>
          <w:rFonts w:cs="Calibri"/>
          <w:sz w:val="22"/>
        </w:rPr>
        <w:t xml:space="preserve">Defard, T., Setkov, A., Loesch, A. and Audigier, R. (2021) 'PaDiM: A patch distribution modeling framework for anomaly detection and localization', in Del Bimbo, A. et </w:t>
      </w:r>
      <w:r w:rsidRPr="00C31ECE">
        <w:rPr>
          <w:rFonts w:cs="Calibri"/>
          <w:sz w:val="22"/>
        </w:rPr>
        <w:t>al. (eds.) Pattern Recognition: ICPR International Workshops and Challenges. Lecture Notes in Computer Science, 12664. Cham: Springer, pp. 475-489.</w:t>
      </w:r>
    </w:p>
    <w:p w14:paraId="5822DD8C" w14:textId="77777777" w:rsidR="00E82086" w:rsidRPr="00C31ECE" w:rsidRDefault="00791FCF" w:rsidP="00C31ECE">
      <w:pPr>
        <w:rPr>
          <w:rFonts w:cs="Calibri"/>
          <w:sz w:val="22"/>
        </w:rPr>
      </w:pPr>
      <w:r w:rsidRPr="00C31ECE">
        <w:rPr>
          <w:rFonts w:cs="Calibri"/>
          <w:sz w:val="22"/>
        </w:rPr>
        <w:t>Liu, J., Xie, G., Wang, J., Li, S., Wang, C., Zheng, F. and Jin, Y. (2024) 'Deep industrial image anomaly de</w:t>
      </w:r>
      <w:r w:rsidRPr="00C31ECE">
        <w:rPr>
          <w:rFonts w:cs="Calibri"/>
          <w:sz w:val="22"/>
        </w:rPr>
        <w:t>tection: A survey', Machine Intelligence Research, 21(1), pp. 104-135.</w:t>
      </w:r>
    </w:p>
    <w:p w14:paraId="4C9A2318" w14:textId="77777777" w:rsidR="00E82086" w:rsidRPr="00C31ECE" w:rsidRDefault="00791FCF" w:rsidP="00C31ECE">
      <w:pPr>
        <w:rPr>
          <w:rFonts w:cs="Calibri"/>
          <w:sz w:val="22"/>
        </w:rPr>
      </w:pPr>
      <w:r w:rsidRPr="00C31ECE">
        <w:rPr>
          <w:rFonts w:cs="Calibri"/>
          <w:sz w:val="22"/>
        </w:rPr>
        <w:t>National Institute of Standards and Technology (NIST) (2023) Artificial Intelligence Risk Management Framework (AI RMF 1.0). NIST AI 100-1. Gaithersburg, MD: U.S. Department of Commerce</w:t>
      </w:r>
      <w:r w:rsidRPr="00C31ECE">
        <w:rPr>
          <w:rFonts w:cs="Calibri"/>
          <w:sz w:val="22"/>
        </w:rPr>
        <w:t>.</w:t>
      </w:r>
    </w:p>
    <w:p w14:paraId="50412463" w14:textId="77777777" w:rsidR="00E82086" w:rsidRPr="00C31ECE" w:rsidRDefault="00791FCF" w:rsidP="00C31ECE">
      <w:pPr>
        <w:rPr>
          <w:rFonts w:cs="Calibri"/>
          <w:sz w:val="22"/>
        </w:rPr>
      </w:pPr>
      <w:r w:rsidRPr="00C31ECE">
        <w:rPr>
          <w:rFonts w:cs="Calibri"/>
          <w:sz w:val="22"/>
        </w:rPr>
        <w:lastRenderedPageBreak/>
        <w:t>Roth, K., Pemula, L., Zepeda, J., Schölkopf, B., Brox, T. and Gehler, P. (2022) 'Towards total recall in industrial anomaly detection', Proceedings of the IEEE/CVF Conference on Computer Vision and Pattern Recognition, pp. 14318-14328.</w:t>
      </w:r>
    </w:p>
    <w:p w14:paraId="6E1DCD8B" w14:textId="77777777" w:rsidR="00E82086" w:rsidRPr="00C31ECE" w:rsidRDefault="00791FCF" w:rsidP="00C31ECE">
      <w:pPr>
        <w:rPr>
          <w:rFonts w:cs="Calibri"/>
          <w:sz w:val="22"/>
        </w:rPr>
      </w:pPr>
      <w:r w:rsidRPr="00C31ECE">
        <w:rPr>
          <w:rFonts w:cs="Calibri"/>
          <w:sz w:val="22"/>
        </w:rPr>
        <w:t>Sculley, D., Holt,</w:t>
      </w:r>
      <w:r w:rsidRPr="00C31ECE">
        <w:rPr>
          <w:rFonts w:cs="Calibri"/>
          <w:sz w:val="22"/>
        </w:rPr>
        <w:t xml:space="preserve"> G., Golovin, D., Davydov, E., Phillips, T., Ebner, D., Chaudhary, V., Young, M., Crespo, J.-F. and Dennison, D. (2015) 'Hidden technical debt in machine learning systems', Advances in Neural Information Processing Systems, 28, pp. 2503-2511.</w:t>
      </w:r>
    </w:p>
    <w:p w14:paraId="086336B3" w14:textId="77777777" w:rsidR="00E82086" w:rsidRPr="00C31ECE" w:rsidRDefault="00791FCF" w:rsidP="00C31ECE">
      <w:pPr>
        <w:rPr>
          <w:rFonts w:cs="Calibri"/>
          <w:sz w:val="22"/>
        </w:rPr>
      </w:pPr>
      <w:r w:rsidRPr="00C31ECE">
        <w:rPr>
          <w:rFonts w:cs="Calibri"/>
          <w:sz w:val="22"/>
        </w:rPr>
        <w:t>Tao, X., Gong</w:t>
      </w:r>
      <w:r w:rsidRPr="00C31ECE">
        <w:rPr>
          <w:rFonts w:cs="Calibri"/>
          <w:sz w:val="22"/>
        </w:rPr>
        <w:t>, X., Zhang, X., Yan, S. and Adak, C. (2022) 'Deep learning for unsupervised anomaly localization in industrial images: A survey', IEEE Transactions on Instrumentation and Measurement, 71, article 5018021, pp. 1-21.</w:t>
      </w:r>
    </w:p>
    <w:sectPr w:rsidR="00E82086" w:rsidRPr="00C31ECE"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7B37" w14:textId="77777777" w:rsidR="00791FCF" w:rsidRDefault="00791FCF">
      <w:pPr>
        <w:spacing w:after="0" w:line="240" w:lineRule="auto"/>
      </w:pPr>
      <w:r>
        <w:separator/>
      </w:r>
    </w:p>
  </w:endnote>
  <w:endnote w:type="continuationSeparator" w:id="0">
    <w:p w14:paraId="40A8A19B" w14:textId="77777777" w:rsidR="00791FCF" w:rsidRDefault="00791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51AED" w14:textId="77777777" w:rsidR="00E82086" w:rsidRDefault="00791FCF">
    <w:pPr>
      <w:pStyle w:val="Footer"/>
      <w:jc w:val="center"/>
    </w:pPr>
    <w:r>
      <w:rPr>
        <w:sz w:val="18"/>
      </w:rPr>
      <w:fldChar w:fldCharType="begin"/>
    </w:r>
    <w:r>
      <w:rPr>
        <w:sz w:val="18"/>
      </w:rPr>
      <w:instrText>PAGE</w:instrText>
    </w:r>
    <w:r w:rsidR="00C31ECE">
      <w:rPr>
        <w:sz w:val="18"/>
      </w:rPr>
      <w:fldChar w:fldCharType="separate"/>
    </w:r>
    <w:r w:rsidR="00C31EC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FE60B" w14:textId="77777777" w:rsidR="00791FCF" w:rsidRDefault="00791FCF">
      <w:pPr>
        <w:spacing w:after="0" w:line="240" w:lineRule="auto"/>
      </w:pPr>
      <w:r>
        <w:separator/>
      </w:r>
    </w:p>
  </w:footnote>
  <w:footnote w:type="continuationSeparator" w:id="0">
    <w:p w14:paraId="1B8792FE" w14:textId="77777777" w:rsidR="00791FCF" w:rsidRDefault="00791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FD3"/>
    <w:rsid w:val="00791FCF"/>
    <w:rsid w:val="00916256"/>
    <w:rsid w:val="00AA1D8D"/>
    <w:rsid w:val="00B47730"/>
    <w:rsid w:val="00C31ECE"/>
    <w:rsid w:val="00CB0664"/>
    <w:rsid w:val="00E8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41B4C"/>
  <w14:defaultImageDpi w14:val="300"/>
  <w15:docId w15:val="{039F607D-4380-46DE-9AE1-00ACE7C7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Asemota</cp:lastModifiedBy>
  <cp:revision>2</cp:revision>
  <dcterms:created xsi:type="dcterms:W3CDTF">2013-12-23T23:15:00Z</dcterms:created>
  <dcterms:modified xsi:type="dcterms:W3CDTF">2026-06-24T19:30:00Z</dcterms:modified>
  <cp:category/>
</cp:coreProperties>
</file>