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60081" w14:textId="77777777" w:rsidR="00E917C5" w:rsidRPr="00B20C11" w:rsidRDefault="00E917C5" w:rsidP="00E917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0C11">
        <w:rPr>
          <w:rFonts w:ascii="Times New Roman" w:eastAsia="Times New Roman" w:hAnsi="Times New Roman" w:cs="Times New Roman"/>
          <w:b/>
          <w:bCs/>
          <w:kern w:val="36"/>
          <w:sz w:val="48"/>
          <w:szCs w:val="48"/>
        </w:rPr>
        <w:t>Chapter 3: Methodology</w:t>
      </w:r>
    </w:p>
    <w:p w14:paraId="19CE5345" w14:textId="77777777" w:rsidR="00E917C5" w:rsidRPr="00B20C11" w:rsidRDefault="00E917C5" w:rsidP="00E917C5">
      <w:pPr>
        <w:spacing w:before="100" w:beforeAutospacing="1" w:after="100" w:afterAutospacing="1" w:line="240" w:lineRule="auto"/>
        <w:outlineLvl w:val="1"/>
        <w:rPr>
          <w:rFonts w:ascii="Times New Roman" w:eastAsia="Times New Roman" w:hAnsi="Times New Roman" w:cs="Times New Roman"/>
          <w:b/>
          <w:bCs/>
          <w:sz w:val="36"/>
          <w:szCs w:val="36"/>
        </w:rPr>
      </w:pPr>
      <w:r w:rsidRPr="00B20C11">
        <w:rPr>
          <w:rFonts w:ascii="Times New Roman" w:eastAsia="Times New Roman" w:hAnsi="Times New Roman" w:cs="Times New Roman"/>
          <w:b/>
          <w:bCs/>
          <w:sz w:val="36"/>
          <w:szCs w:val="36"/>
        </w:rPr>
        <w:t>3.1 Introduction</w:t>
      </w:r>
    </w:p>
    <w:p w14:paraId="1B5D4207"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This chapter describes the methodology used to develop and evaluate the risk-aware visual inspection prototype. The work was designed as an applied computer vision study in which industrial anomaly detection was integrated with localisation, constrained semantic interpretation, deterministic risk classification, confidence-based review gating and an operator-facing quality disposition workflow.</w:t>
      </w:r>
    </w:p>
    <w:p w14:paraId="63BAD6B7"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methodology was structured to address two related questions. The first concerned the technical performance of visual anomaly detection methods when only defect-free examples were available for modelling normal product appearance. The second concerned how the resulting anomaly evidence could be converted into a traceable quality-control recommendation rather than being treated as an isolated classification output.</w:t>
      </w:r>
    </w:p>
    <w:p w14:paraId="11CC11F6"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Two industrial anomaly detection methods, PatchCore and PaDiM, were implemented and evaluated. Both methods use feature representations extracted from convolutional neural networks pre-trained on large image datasets, but they differ in the way normality is represented. PatchCore retains representative normal patch embeddings in a memory bank and identifies anomalies using nearest-neighbour distance. PaDiM estimates a multivariate Gaussian distribution for the normal embeddings at each spatial location and evaluates deviations using Mahalanobis distance (Defard </w:t>
      </w:r>
      <w:r w:rsidRPr="00B20C11">
        <w:rPr>
          <w:rFonts w:ascii="Times New Roman" w:eastAsia="Times New Roman" w:hAnsi="Times New Roman" w:cs="Times New Roman"/>
          <w:i/>
          <w:iCs/>
          <w:sz w:val="24"/>
          <w:szCs w:val="24"/>
        </w:rPr>
        <w:t>et al.</w:t>
      </w:r>
      <w:r w:rsidRPr="00B20C11">
        <w:rPr>
          <w:rFonts w:ascii="Times New Roman" w:eastAsia="Times New Roman" w:hAnsi="Times New Roman" w:cs="Times New Roman"/>
          <w:sz w:val="24"/>
          <w:szCs w:val="24"/>
        </w:rPr>
        <w:t xml:space="preserve">, 2021; Roth </w:t>
      </w:r>
      <w:r w:rsidRPr="00B20C11">
        <w:rPr>
          <w:rFonts w:ascii="Times New Roman" w:eastAsia="Times New Roman" w:hAnsi="Times New Roman" w:cs="Times New Roman"/>
          <w:i/>
          <w:iCs/>
          <w:sz w:val="24"/>
          <w:szCs w:val="24"/>
        </w:rPr>
        <w:t>et al.</w:t>
      </w:r>
      <w:r w:rsidRPr="00B20C11">
        <w:rPr>
          <w:rFonts w:ascii="Times New Roman" w:eastAsia="Times New Roman" w:hAnsi="Times New Roman" w:cs="Times New Roman"/>
          <w:sz w:val="24"/>
          <w:szCs w:val="24"/>
        </w:rPr>
        <w:t>, 2022).</w:t>
      </w:r>
    </w:p>
    <w:p w14:paraId="5CD9B7EC"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anomaly detection models were connected to a modular inspection pipeline that generated image-level decisions, anomaly maps, binary masks, connected anomalous regions, constrained semantic labels, risk classifications, confidence values and quality-disposition recommendations. PostgreSQL was used to retain inspection and operator-review records, while FastAPI and NiceGUI provided the backend and operator interface. Docker Compose was used to provide a reproducible PostgreSQL service.</w:t>
      </w:r>
    </w:p>
    <w:p w14:paraId="2771C35C"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chapter first presents the research design and system architecture. It then describes the dataset, anomaly detection models, architecture comparison, localisation procedure, semantic interpretation, risk logic, confidence fusion, operator review, audit database and evaluation metrics.</w:t>
      </w:r>
    </w:p>
    <w:p w14:paraId="5260661B" w14:textId="77777777" w:rsidR="00E917C5" w:rsidRPr="00B20C11" w:rsidRDefault="00E917C5" w:rsidP="00E917C5">
      <w:pPr>
        <w:spacing w:before="100" w:beforeAutospacing="1" w:after="100" w:afterAutospacing="1" w:line="240" w:lineRule="auto"/>
        <w:outlineLvl w:val="1"/>
        <w:rPr>
          <w:rFonts w:ascii="Times New Roman" w:eastAsia="Times New Roman" w:hAnsi="Times New Roman" w:cs="Times New Roman"/>
          <w:b/>
          <w:bCs/>
          <w:sz w:val="36"/>
          <w:szCs w:val="36"/>
        </w:rPr>
      </w:pPr>
      <w:r w:rsidRPr="00B20C11">
        <w:rPr>
          <w:rFonts w:ascii="Times New Roman" w:eastAsia="Times New Roman" w:hAnsi="Times New Roman" w:cs="Times New Roman"/>
          <w:b/>
          <w:bCs/>
          <w:sz w:val="36"/>
          <w:szCs w:val="36"/>
        </w:rPr>
        <w:t>3.2 Research design</w:t>
      </w:r>
    </w:p>
    <w:p w14:paraId="5739F0CD"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study followed an experimental design combined with prototype system development. The experimental component compared anomaly detection algorithms and feature-extraction backbones under a consistent dataset and software configuration. The prototype component examined how model outputs could be incorporated into a wider inspection and decision-support workflow.</w:t>
      </w:r>
    </w:p>
    <w:p w14:paraId="64D7BDE4"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lastRenderedPageBreak/>
        <w:t>The implementation was organised as a sequence of modular processing stages:</w:t>
      </w:r>
    </w:p>
    <w:p w14:paraId="439CB05D" w14:textId="77777777" w:rsidR="00E917C5" w:rsidRPr="00B20C11" w:rsidRDefault="00E917C5" w:rsidP="00E917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image ingestion and preprocessing;</w:t>
      </w:r>
    </w:p>
    <w:p w14:paraId="6D26C623" w14:textId="77777777" w:rsidR="00E917C5" w:rsidRPr="00B20C11" w:rsidRDefault="00E917C5" w:rsidP="00E917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image-level anomaly detection;</w:t>
      </w:r>
    </w:p>
    <w:p w14:paraId="038C0B34" w14:textId="77777777" w:rsidR="00E917C5" w:rsidRPr="00B20C11" w:rsidRDefault="00E917C5" w:rsidP="00E917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pixel-level anomaly-map generation;</w:t>
      </w:r>
    </w:p>
    <w:p w14:paraId="2E967F51" w14:textId="77777777" w:rsidR="00E917C5" w:rsidRPr="00B20C11" w:rsidRDefault="00E917C5" w:rsidP="00E917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thresholding and spatial localisation;</w:t>
      </w:r>
    </w:p>
    <w:p w14:paraId="5E9F0D75" w14:textId="77777777" w:rsidR="00E917C5" w:rsidRPr="00B20C11" w:rsidRDefault="00E917C5" w:rsidP="00E917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constrained semantic interpretation;</w:t>
      </w:r>
    </w:p>
    <w:p w14:paraId="16D422D7" w14:textId="77777777" w:rsidR="00E917C5" w:rsidRPr="00B20C11" w:rsidRDefault="00E917C5" w:rsidP="00E917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deterministic risk classification;</w:t>
      </w:r>
    </w:p>
    <w:p w14:paraId="634943B5" w14:textId="77777777" w:rsidR="00E917C5" w:rsidRPr="00B20C11" w:rsidRDefault="00E917C5" w:rsidP="00E917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confidence fusion and human-review gating;</w:t>
      </w:r>
    </w:p>
    <w:p w14:paraId="0CB75A0A" w14:textId="77777777" w:rsidR="00E917C5" w:rsidRPr="00B20C11" w:rsidRDefault="00E917C5" w:rsidP="00E917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risk-governed quality disposition;</w:t>
      </w:r>
    </w:p>
    <w:p w14:paraId="7105D898" w14:textId="77777777" w:rsidR="00E917C5" w:rsidRPr="00B20C11" w:rsidRDefault="00E917C5" w:rsidP="00E917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database audit logging;</w:t>
      </w:r>
    </w:p>
    <w:p w14:paraId="08532A72" w14:textId="77777777" w:rsidR="00E917C5" w:rsidRPr="00B20C11" w:rsidRDefault="00E917C5" w:rsidP="00E917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API and operator-dashboard interaction.</w:t>
      </w:r>
    </w:p>
    <w:p w14:paraId="79900830"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This staged design was selected to maintain separation between the learned anomaly detector and the deterministic governance components. It allowed anomaly detection models to be exchanged without altering the downstream localisation, semantic, risk, review and audit mechanisms. It also made it possible to evaluate both model-level performance and system-level operational behaviour.</w:t>
      </w:r>
    </w:p>
    <w:p w14:paraId="25972328"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The study was not designed as a fully autonomous production-line controller. The prototype produced quality-disposition recommendations but did not physically control a conveyor, reject gate or robotic sorting mechanism. Human review remained available for ambiguous, low-confidence or high-risk cases. This reflected established human–AI interaction guidance that recommends making system limitations visible and supporting correction or override when automated recommendations may be unreliable (Amershi </w:t>
      </w:r>
      <w:r w:rsidRPr="00B20C11">
        <w:rPr>
          <w:rFonts w:ascii="Times New Roman" w:eastAsia="Times New Roman" w:hAnsi="Times New Roman" w:cs="Times New Roman"/>
          <w:i/>
          <w:iCs/>
          <w:sz w:val="24"/>
          <w:szCs w:val="24"/>
        </w:rPr>
        <w:t>et al.</w:t>
      </w:r>
      <w:r w:rsidRPr="00B20C11">
        <w:rPr>
          <w:rFonts w:ascii="Times New Roman" w:eastAsia="Times New Roman" w:hAnsi="Times New Roman" w:cs="Times New Roman"/>
          <w:sz w:val="24"/>
          <w:szCs w:val="24"/>
        </w:rPr>
        <w:t>, 2019).</w:t>
      </w:r>
    </w:p>
    <w:p w14:paraId="322C89FA" w14:textId="77777777" w:rsidR="00E917C5" w:rsidRPr="00B20C11" w:rsidRDefault="00E917C5" w:rsidP="00E917C5">
      <w:pPr>
        <w:spacing w:before="100" w:beforeAutospacing="1" w:after="100" w:afterAutospacing="1" w:line="240" w:lineRule="auto"/>
        <w:outlineLvl w:val="1"/>
        <w:rPr>
          <w:rFonts w:ascii="Times New Roman" w:eastAsia="Times New Roman" w:hAnsi="Times New Roman" w:cs="Times New Roman"/>
          <w:b/>
          <w:bCs/>
          <w:sz w:val="36"/>
          <w:szCs w:val="36"/>
        </w:rPr>
      </w:pPr>
      <w:r w:rsidRPr="00B20C11">
        <w:rPr>
          <w:rFonts w:ascii="Times New Roman" w:eastAsia="Times New Roman" w:hAnsi="Times New Roman" w:cs="Times New Roman"/>
          <w:b/>
          <w:bCs/>
          <w:sz w:val="36"/>
          <w:szCs w:val="36"/>
        </w:rPr>
        <w:t>3.3 System architecture</w:t>
      </w:r>
    </w:p>
    <w:p w14:paraId="71B60A7E"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prototype was implemented in Python using a modular package structure. The main pipeline coordinated ingestion, anomaly detection, localisation, semantic interpretation, risk assignment, confidence fusion, gating and output generation.</w:t>
      </w:r>
    </w:p>
    <w:p w14:paraId="6FBD7955"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Configuration values were separated from the processing code where practicable. YAML files were used to hold operational thresholds, taxonomy values, confidence settings and decision policies. This made experimental changes traceable and reduced the risk of modifying core processing logic between runs.</w:t>
      </w:r>
    </w:p>
    <w:p w14:paraId="52E4B1EE"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anomaly detector communicated with the remainder of the pipeline through a common output contract. Each detector was expected to produce:</w:t>
      </w:r>
    </w:p>
    <w:p w14:paraId="2A8AE1A3" w14:textId="77777777" w:rsidR="00E917C5" w:rsidRPr="00B20C11" w:rsidRDefault="00E917C5" w:rsidP="00E917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an image-level anomaly score;</w:t>
      </w:r>
    </w:p>
    <w:p w14:paraId="2CFEEC74" w14:textId="77777777" w:rsidR="00E917C5" w:rsidRPr="00B20C11" w:rsidRDefault="00E917C5" w:rsidP="00E917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an image-level anomaly decision;</w:t>
      </w:r>
    </w:p>
    <w:p w14:paraId="4AC1E77F" w14:textId="77777777" w:rsidR="00E917C5" w:rsidRPr="00B20C11" w:rsidRDefault="00E917C5" w:rsidP="00E917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an anomaly confidence value;</w:t>
      </w:r>
    </w:p>
    <w:p w14:paraId="0BDAC650" w14:textId="77777777" w:rsidR="00E917C5" w:rsidRPr="00B20C11" w:rsidRDefault="00E917C5" w:rsidP="00E917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a pixel-level anomaly map;</w:t>
      </w:r>
    </w:p>
    <w:p w14:paraId="62F69000" w14:textId="77777777" w:rsidR="00E917C5" w:rsidRPr="00B20C11" w:rsidRDefault="00E917C5" w:rsidP="00E917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threshold information required for interpretation.</w:t>
      </w:r>
    </w:p>
    <w:p w14:paraId="27FF3EE5"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lastRenderedPageBreak/>
        <w:t>This detector-independent interface was important because PatchCore, PaDiM and the initial statistical baseline model produced anomaly evidence differently. Converting their outputs into a consistent format allowed the same downstream logic to be applied to each method.</w:t>
      </w:r>
    </w:p>
    <w:p w14:paraId="061CAA71"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implementation generated structured CSV and JSONL result files together with visual artefacts. The visual outputs included anomaly maps, heatmap overlays, binary masks and annotated images. These artefacts were retained so that quantitative results could be traced back to the visual evidence used by the pipeline.</w:t>
      </w:r>
    </w:p>
    <w:p w14:paraId="14C35CF6" w14:textId="77777777" w:rsidR="00E917C5" w:rsidRPr="00B20C11" w:rsidRDefault="00E917C5" w:rsidP="00E917C5">
      <w:pPr>
        <w:spacing w:before="100" w:beforeAutospacing="1" w:after="100" w:afterAutospacing="1" w:line="240" w:lineRule="auto"/>
        <w:outlineLvl w:val="1"/>
        <w:rPr>
          <w:rFonts w:ascii="Times New Roman" w:eastAsia="Times New Roman" w:hAnsi="Times New Roman" w:cs="Times New Roman"/>
          <w:b/>
          <w:bCs/>
          <w:sz w:val="36"/>
          <w:szCs w:val="36"/>
        </w:rPr>
      </w:pPr>
      <w:r w:rsidRPr="00B20C11">
        <w:rPr>
          <w:rFonts w:ascii="Times New Roman" w:eastAsia="Times New Roman" w:hAnsi="Times New Roman" w:cs="Times New Roman"/>
          <w:b/>
          <w:bCs/>
          <w:sz w:val="36"/>
          <w:szCs w:val="36"/>
        </w:rPr>
        <w:t>3.4 Dataset and data organisation</w:t>
      </w:r>
    </w:p>
    <w:p w14:paraId="25D20DC7" w14:textId="77777777" w:rsidR="00E917C5" w:rsidRPr="00B20C11" w:rsidRDefault="00E917C5" w:rsidP="00E917C5">
      <w:pPr>
        <w:spacing w:before="100" w:beforeAutospacing="1" w:after="100" w:afterAutospacing="1" w:line="240" w:lineRule="auto"/>
        <w:outlineLvl w:val="2"/>
        <w:rPr>
          <w:rFonts w:ascii="Times New Roman" w:eastAsia="Times New Roman" w:hAnsi="Times New Roman" w:cs="Times New Roman"/>
          <w:b/>
          <w:bCs/>
          <w:sz w:val="27"/>
          <w:szCs w:val="27"/>
        </w:rPr>
      </w:pPr>
      <w:r w:rsidRPr="00B20C11">
        <w:rPr>
          <w:rFonts w:ascii="Times New Roman" w:eastAsia="Times New Roman" w:hAnsi="Times New Roman" w:cs="Times New Roman"/>
          <w:b/>
          <w:bCs/>
          <w:sz w:val="27"/>
          <w:szCs w:val="27"/>
        </w:rPr>
        <w:t>3.4.1 MVTec AD dataset</w:t>
      </w:r>
    </w:p>
    <w:p w14:paraId="06675EEB"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The experimental evaluation used the MVTec Anomaly Detection dataset. MVTec AD contains 5,354 high-resolution images divided into 15 industrial object and texture categories. The dataset provides defect-free training images, normal and anomalous test images, and pixel-accurate ground-truth masks for anomalous test samples (Bergmann </w:t>
      </w:r>
      <w:r w:rsidRPr="00B20C11">
        <w:rPr>
          <w:rFonts w:ascii="Times New Roman" w:eastAsia="Times New Roman" w:hAnsi="Times New Roman" w:cs="Times New Roman"/>
          <w:i/>
          <w:iCs/>
          <w:sz w:val="24"/>
          <w:szCs w:val="24"/>
        </w:rPr>
        <w:t>et al.</w:t>
      </w:r>
      <w:r w:rsidRPr="00B20C11">
        <w:rPr>
          <w:rFonts w:ascii="Times New Roman" w:eastAsia="Times New Roman" w:hAnsi="Times New Roman" w:cs="Times New Roman"/>
          <w:sz w:val="24"/>
          <w:szCs w:val="24"/>
        </w:rPr>
        <w:t>, 2019).</w:t>
      </w:r>
    </w:p>
    <w:p w14:paraId="46B105C2"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Three object categories were selected:</w:t>
      </w:r>
    </w:p>
    <w:p w14:paraId="1036B9A6" w14:textId="77777777" w:rsidR="00E917C5" w:rsidRPr="00B20C11" w:rsidRDefault="00E917C5" w:rsidP="00E917C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bottle;</w:t>
      </w:r>
    </w:p>
    <w:p w14:paraId="1E7CC470" w14:textId="77777777" w:rsidR="00E917C5" w:rsidRPr="00B20C11" w:rsidRDefault="00E917C5" w:rsidP="00E917C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capsule;</w:t>
      </w:r>
    </w:p>
    <w:p w14:paraId="3388B9D4" w14:textId="77777777" w:rsidR="00E917C5" w:rsidRPr="00B20C11" w:rsidRDefault="00E917C5" w:rsidP="00E917C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hazelnut.</w:t>
      </w:r>
    </w:p>
    <w:p w14:paraId="1F4DDC40"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These categories were chosen because they contain different product geometries, backgrounds and defect types. Bottle images include defects such as broken regions and contamination. Capsule images contain localised defects including scratches, squeezes, cracks and punctures. Hazelnut images include surface defects, cuts, cracks and contamination. The selection therefore allowed the same inspection pipeline to be evaluated across objects with different visual characteristics.</w:t>
      </w:r>
    </w:p>
    <w:p w14:paraId="09073BC0"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The official dataset organisation was retained. Images in the </w:t>
      </w:r>
      <w:r w:rsidRPr="00B20C11">
        <w:rPr>
          <w:rFonts w:ascii="Courier New" w:eastAsia="Times New Roman" w:hAnsi="Courier New" w:cs="Courier New"/>
          <w:sz w:val="20"/>
          <w:szCs w:val="20"/>
        </w:rPr>
        <w:t>train/good</w:t>
      </w:r>
      <w:r w:rsidRPr="00B20C11">
        <w:rPr>
          <w:rFonts w:ascii="Times New Roman" w:eastAsia="Times New Roman" w:hAnsi="Times New Roman" w:cs="Times New Roman"/>
          <w:sz w:val="24"/>
          <w:szCs w:val="24"/>
        </w:rPr>
        <w:t xml:space="preserve"> directory were used to fit the normality representations of PatchCore and PaDiM. These training images contained no labelled defects. Normal and anomalous images in the test directories were used for evaluation. Ground-truth masks were used only when calculating localisation metrics and were not provided to the anomaly detection models during fitting or inference.</w:t>
      </w:r>
    </w:p>
    <w:p w14:paraId="758BE693"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No proprietary manufacturing imagery was included in the final quantitative evaluation. Restricting the experiments to MVTec AD allowed the results to remain reproducible and avoided confidentiality or data-access restrictions.</w:t>
      </w:r>
    </w:p>
    <w:p w14:paraId="13198D97" w14:textId="77777777" w:rsidR="00E917C5" w:rsidRPr="00B20C11" w:rsidRDefault="00E917C5" w:rsidP="00E917C5">
      <w:pPr>
        <w:spacing w:before="100" w:beforeAutospacing="1" w:after="100" w:afterAutospacing="1" w:line="240" w:lineRule="auto"/>
        <w:outlineLvl w:val="2"/>
        <w:rPr>
          <w:rFonts w:ascii="Times New Roman" w:eastAsia="Times New Roman" w:hAnsi="Times New Roman" w:cs="Times New Roman"/>
          <w:b/>
          <w:bCs/>
          <w:sz w:val="27"/>
          <w:szCs w:val="27"/>
        </w:rPr>
      </w:pPr>
      <w:r w:rsidRPr="00B20C11">
        <w:rPr>
          <w:rFonts w:ascii="Times New Roman" w:eastAsia="Times New Roman" w:hAnsi="Times New Roman" w:cs="Times New Roman"/>
          <w:b/>
          <w:bCs/>
          <w:sz w:val="27"/>
          <w:szCs w:val="27"/>
        </w:rPr>
        <w:t>3.4.2 Data integrity and repeatability</w:t>
      </w:r>
    </w:p>
    <w:p w14:paraId="56599AD1"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Each category was processed using the same folder-based data interface. The category path and output path were provided through command-line arguments. Separate output directories were </w:t>
      </w:r>
      <w:r w:rsidRPr="00B20C11">
        <w:rPr>
          <w:rFonts w:ascii="Times New Roman" w:eastAsia="Times New Roman" w:hAnsi="Times New Roman" w:cs="Times New Roman"/>
          <w:sz w:val="24"/>
          <w:szCs w:val="24"/>
        </w:rPr>
        <w:lastRenderedPageBreak/>
        <w:t>used for each detector, category and backbone configuration to prevent results from being overwritten.</w:t>
      </w:r>
    </w:p>
    <w:p w14:paraId="46953046"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architecture experiments were performed on the same category splits. Only the detector architecture or specified hyperparameter was changed during each comparison. This controlled approach reduced variation arising from data selection and allowed differences in AUROC and F1-score to be attributed more directly to the tested model configuration.</w:t>
      </w:r>
    </w:p>
    <w:p w14:paraId="6469B9EE" w14:textId="77777777" w:rsidR="00E917C5" w:rsidRPr="009B41D2" w:rsidRDefault="00E917C5" w:rsidP="00E917C5">
      <w:pPr>
        <w:spacing w:before="100" w:beforeAutospacing="1" w:after="100" w:afterAutospacing="1" w:line="240" w:lineRule="auto"/>
        <w:outlineLvl w:val="1"/>
        <w:rPr>
          <w:rFonts w:ascii="Times New Roman" w:eastAsia="Times New Roman" w:hAnsi="Times New Roman" w:cs="Times New Roman"/>
          <w:b/>
          <w:bCs/>
          <w:sz w:val="36"/>
          <w:szCs w:val="36"/>
        </w:rPr>
      </w:pPr>
      <w:r w:rsidRPr="009B41D2">
        <w:rPr>
          <w:rFonts w:ascii="Times New Roman" w:eastAsia="Times New Roman" w:hAnsi="Times New Roman" w:cs="Times New Roman"/>
          <w:b/>
          <w:bCs/>
          <w:sz w:val="36"/>
          <w:szCs w:val="36"/>
        </w:rPr>
        <w:t>3.5 Software and computational environment</w:t>
      </w:r>
    </w:p>
    <w:p w14:paraId="470ECAC2" w14:textId="77777777" w:rsidR="00E917C5" w:rsidRPr="009B41D2"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The experiments and prototype development were carried out locally on a Windows workstation using Visual Studio Code. The workstation was equipped with an Intel Core i5-8250U processor operating at 1.60 GHz, with four physical cores and eight logical processors. The operating system reported 7.63 GB of physical memory, corresponding to a nominal 8 GB RAM configuration.</w:t>
      </w:r>
    </w:p>
    <w:p w14:paraId="1D855284" w14:textId="77777777" w:rsidR="00E917C5" w:rsidRPr="009B41D2"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The computer used an integrated Intel UHD Graphics 620 graphics processor with driver version 23.20.16.5018. No CUDA-compatible graphics processing unit was available to PyTorch. Consequently, the PatchCore and PaDiM experiments, including feature extraction, memory-bank construction, Gaussian modelling and inference, were executed on the central processing unit. This hardware configuration is relevant when interpreting execution times, as the reported processing duration reflects CPU-based operation rather than GPU-accelerated training or inference.</w:t>
      </w:r>
    </w:p>
    <w:p w14:paraId="1EBB43DC" w14:textId="77777777" w:rsidR="00E917C5" w:rsidRPr="009B41D2"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 xml:space="preserve">The operating system was Microsoft Windows 11 Pro, 64-bit, version 10.0.22000, build 22000. A dedicated Python virtual environment named </w:t>
      </w:r>
      <w:r w:rsidRPr="009B41D2">
        <w:rPr>
          <w:rFonts w:ascii="Courier New" w:eastAsia="Times New Roman" w:hAnsi="Courier New" w:cs="Courier New"/>
          <w:sz w:val="20"/>
          <w:szCs w:val="20"/>
        </w:rPr>
        <w:t>.venv_anomalib</w:t>
      </w:r>
      <w:r w:rsidRPr="009B41D2">
        <w:rPr>
          <w:rFonts w:ascii="Times New Roman" w:eastAsia="Times New Roman" w:hAnsi="Times New Roman" w:cs="Times New Roman"/>
          <w:sz w:val="24"/>
          <w:szCs w:val="24"/>
        </w:rPr>
        <w:t xml:space="preserve"> was used for the anomaly detection experiments and operational pipeline development. This reduced dependency conflicts and ensured that the same package versions were used throughout the experimental work.</w:t>
      </w:r>
    </w:p>
    <w:p w14:paraId="1127015A" w14:textId="77777777" w:rsidR="00E917C5" w:rsidRPr="009B41D2"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 xml:space="preserve">The principal hardware and software specifications are summarised in </w:t>
      </w:r>
      <w:r>
        <w:rPr>
          <w:rFonts w:ascii="Times New Roman" w:eastAsia="Times New Roman" w:hAnsi="Times New Roman" w:cs="Times New Roman"/>
          <w:sz w:val="24"/>
          <w:szCs w:val="24"/>
        </w:rPr>
        <w:t>T</w:t>
      </w:r>
      <w:r w:rsidRPr="009B41D2">
        <w:rPr>
          <w:rFonts w:ascii="Times New Roman" w:eastAsia="Times New Roman" w:hAnsi="Times New Roman" w:cs="Times New Roman"/>
          <w:sz w:val="24"/>
          <w:szCs w:val="24"/>
        </w:rPr>
        <w:t>able</w:t>
      </w:r>
      <w:r>
        <w:rPr>
          <w:rFonts w:ascii="Times New Roman" w:eastAsia="Times New Roman" w:hAnsi="Times New Roman" w:cs="Times New Roman"/>
          <w:sz w:val="24"/>
          <w:szCs w:val="24"/>
        </w:rPr>
        <w:t xml:space="preserve"> (add table no)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3775"/>
      </w:tblGrid>
      <w:tr w:rsidR="00E917C5" w:rsidRPr="009B41D2" w14:paraId="39B594C1" w14:textId="77777777" w:rsidTr="001C158F">
        <w:trPr>
          <w:tblHeader/>
          <w:tblCellSpacing w:w="15" w:type="dxa"/>
        </w:trPr>
        <w:tc>
          <w:tcPr>
            <w:tcW w:w="0" w:type="auto"/>
            <w:vAlign w:val="center"/>
            <w:hideMark/>
          </w:tcPr>
          <w:p w14:paraId="206B968A" w14:textId="77777777" w:rsidR="00E917C5" w:rsidRPr="009B41D2" w:rsidRDefault="00E917C5" w:rsidP="001C158F">
            <w:pPr>
              <w:spacing w:after="0" w:line="240" w:lineRule="auto"/>
              <w:jc w:val="center"/>
              <w:rPr>
                <w:rFonts w:ascii="Times New Roman" w:eastAsia="Times New Roman" w:hAnsi="Times New Roman" w:cs="Times New Roman"/>
                <w:b/>
                <w:bCs/>
                <w:sz w:val="24"/>
                <w:szCs w:val="24"/>
              </w:rPr>
            </w:pPr>
            <w:r w:rsidRPr="009B41D2">
              <w:rPr>
                <w:rFonts w:ascii="Times New Roman" w:eastAsia="Times New Roman" w:hAnsi="Times New Roman" w:cs="Times New Roman"/>
                <w:b/>
                <w:bCs/>
                <w:sz w:val="24"/>
                <w:szCs w:val="24"/>
              </w:rPr>
              <w:t>Component</w:t>
            </w:r>
          </w:p>
        </w:tc>
        <w:tc>
          <w:tcPr>
            <w:tcW w:w="0" w:type="auto"/>
            <w:vAlign w:val="center"/>
            <w:hideMark/>
          </w:tcPr>
          <w:p w14:paraId="5A7AF27D" w14:textId="77777777" w:rsidR="00E917C5" w:rsidRPr="009B41D2" w:rsidRDefault="00E917C5" w:rsidP="001C158F">
            <w:pPr>
              <w:spacing w:after="0" w:line="240" w:lineRule="auto"/>
              <w:jc w:val="center"/>
              <w:rPr>
                <w:rFonts w:ascii="Times New Roman" w:eastAsia="Times New Roman" w:hAnsi="Times New Roman" w:cs="Times New Roman"/>
                <w:b/>
                <w:bCs/>
                <w:sz w:val="24"/>
                <w:szCs w:val="24"/>
              </w:rPr>
            </w:pPr>
            <w:r w:rsidRPr="009B41D2">
              <w:rPr>
                <w:rFonts w:ascii="Times New Roman" w:eastAsia="Times New Roman" w:hAnsi="Times New Roman" w:cs="Times New Roman"/>
                <w:b/>
                <w:bCs/>
                <w:sz w:val="24"/>
                <w:szCs w:val="24"/>
              </w:rPr>
              <w:t>Specification</w:t>
            </w:r>
          </w:p>
        </w:tc>
      </w:tr>
      <w:tr w:rsidR="00E917C5" w:rsidRPr="009B41D2" w14:paraId="5670A20B" w14:textId="77777777" w:rsidTr="001C158F">
        <w:trPr>
          <w:tblCellSpacing w:w="15" w:type="dxa"/>
        </w:trPr>
        <w:tc>
          <w:tcPr>
            <w:tcW w:w="0" w:type="auto"/>
            <w:vAlign w:val="center"/>
            <w:hideMark/>
          </w:tcPr>
          <w:p w14:paraId="061886CF"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Processor</w:t>
            </w:r>
          </w:p>
        </w:tc>
        <w:tc>
          <w:tcPr>
            <w:tcW w:w="0" w:type="auto"/>
            <w:vAlign w:val="center"/>
            <w:hideMark/>
          </w:tcPr>
          <w:p w14:paraId="75F86CBE"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Intel Core i5-8250U CPU at 1.60 GHz</w:t>
            </w:r>
          </w:p>
        </w:tc>
      </w:tr>
      <w:tr w:rsidR="00E917C5" w:rsidRPr="009B41D2" w14:paraId="4CBA4BB7" w14:textId="77777777" w:rsidTr="001C158F">
        <w:trPr>
          <w:tblCellSpacing w:w="15" w:type="dxa"/>
        </w:trPr>
        <w:tc>
          <w:tcPr>
            <w:tcW w:w="0" w:type="auto"/>
            <w:vAlign w:val="center"/>
            <w:hideMark/>
          </w:tcPr>
          <w:p w14:paraId="3A0564ED"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Physical cores</w:t>
            </w:r>
          </w:p>
        </w:tc>
        <w:tc>
          <w:tcPr>
            <w:tcW w:w="0" w:type="auto"/>
            <w:vAlign w:val="center"/>
            <w:hideMark/>
          </w:tcPr>
          <w:p w14:paraId="7BFDA545"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4</w:t>
            </w:r>
          </w:p>
        </w:tc>
      </w:tr>
      <w:tr w:rsidR="00E917C5" w:rsidRPr="009B41D2" w14:paraId="3122602B" w14:textId="77777777" w:rsidTr="001C158F">
        <w:trPr>
          <w:tblCellSpacing w:w="15" w:type="dxa"/>
        </w:trPr>
        <w:tc>
          <w:tcPr>
            <w:tcW w:w="0" w:type="auto"/>
            <w:vAlign w:val="center"/>
            <w:hideMark/>
          </w:tcPr>
          <w:p w14:paraId="21F78ADE"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Logical processors</w:t>
            </w:r>
          </w:p>
        </w:tc>
        <w:tc>
          <w:tcPr>
            <w:tcW w:w="0" w:type="auto"/>
            <w:vAlign w:val="center"/>
            <w:hideMark/>
          </w:tcPr>
          <w:p w14:paraId="309722E4"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8</w:t>
            </w:r>
          </w:p>
        </w:tc>
      </w:tr>
      <w:tr w:rsidR="00E917C5" w:rsidRPr="009B41D2" w14:paraId="72B5F0FE" w14:textId="77777777" w:rsidTr="001C158F">
        <w:trPr>
          <w:tblCellSpacing w:w="15" w:type="dxa"/>
        </w:trPr>
        <w:tc>
          <w:tcPr>
            <w:tcW w:w="0" w:type="auto"/>
            <w:vAlign w:val="center"/>
            <w:hideMark/>
          </w:tcPr>
          <w:p w14:paraId="0ED01536"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Installed memory</w:t>
            </w:r>
          </w:p>
        </w:tc>
        <w:tc>
          <w:tcPr>
            <w:tcW w:w="0" w:type="auto"/>
            <w:vAlign w:val="center"/>
            <w:hideMark/>
          </w:tcPr>
          <w:p w14:paraId="5FCA65F2"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7.63 GB reported physical memory</w:t>
            </w:r>
          </w:p>
        </w:tc>
      </w:tr>
      <w:tr w:rsidR="00E917C5" w:rsidRPr="009B41D2" w14:paraId="759219E7" w14:textId="77777777" w:rsidTr="001C158F">
        <w:trPr>
          <w:tblCellSpacing w:w="15" w:type="dxa"/>
        </w:trPr>
        <w:tc>
          <w:tcPr>
            <w:tcW w:w="0" w:type="auto"/>
            <w:vAlign w:val="center"/>
            <w:hideMark/>
          </w:tcPr>
          <w:p w14:paraId="48EB38AF"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Graphics processor</w:t>
            </w:r>
          </w:p>
        </w:tc>
        <w:tc>
          <w:tcPr>
            <w:tcW w:w="0" w:type="auto"/>
            <w:vAlign w:val="center"/>
            <w:hideMark/>
          </w:tcPr>
          <w:p w14:paraId="02EA6785"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Intel UHD Graphics 620</w:t>
            </w:r>
          </w:p>
        </w:tc>
      </w:tr>
      <w:tr w:rsidR="00E917C5" w:rsidRPr="009B41D2" w14:paraId="0FF45F5A" w14:textId="77777777" w:rsidTr="001C158F">
        <w:trPr>
          <w:tblCellSpacing w:w="15" w:type="dxa"/>
        </w:trPr>
        <w:tc>
          <w:tcPr>
            <w:tcW w:w="0" w:type="auto"/>
            <w:vAlign w:val="center"/>
            <w:hideMark/>
          </w:tcPr>
          <w:p w14:paraId="00F8A2CB"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Graphics driver</w:t>
            </w:r>
          </w:p>
        </w:tc>
        <w:tc>
          <w:tcPr>
            <w:tcW w:w="0" w:type="auto"/>
            <w:vAlign w:val="center"/>
            <w:hideMark/>
          </w:tcPr>
          <w:p w14:paraId="5D89F121"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23.20.16.5018</w:t>
            </w:r>
          </w:p>
        </w:tc>
      </w:tr>
      <w:tr w:rsidR="00E917C5" w:rsidRPr="009B41D2" w14:paraId="391922A7" w14:textId="77777777" w:rsidTr="001C158F">
        <w:trPr>
          <w:tblCellSpacing w:w="15" w:type="dxa"/>
        </w:trPr>
        <w:tc>
          <w:tcPr>
            <w:tcW w:w="0" w:type="auto"/>
            <w:vAlign w:val="center"/>
            <w:hideMark/>
          </w:tcPr>
          <w:p w14:paraId="2CFAAEE7"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CUDA availability</w:t>
            </w:r>
          </w:p>
        </w:tc>
        <w:tc>
          <w:tcPr>
            <w:tcW w:w="0" w:type="auto"/>
            <w:vAlign w:val="center"/>
            <w:hideMark/>
          </w:tcPr>
          <w:p w14:paraId="28149808"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Not available</w:t>
            </w:r>
          </w:p>
        </w:tc>
      </w:tr>
      <w:tr w:rsidR="00E917C5" w:rsidRPr="009B41D2" w14:paraId="722B3F12" w14:textId="77777777" w:rsidTr="001C158F">
        <w:trPr>
          <w:tblCellSpacing w:w="15" w:type="dxa"/>
        </w:trPr>
        <w:tc>
          <w:tcPr>
            <w:tcW w:w="0" w:type="auto"/>
            <w:vAlign w:val="center"/>
            <w:hideMark/>
          </w:tcPr>
          <w:p w14:paraId="14533FE8"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PyTorch execution device</w:t>
            </w:r>
          </w:p>
        </w:tc>
        <w:tc>
          <w:tcPr>
            <w:tcW w:w="0" w:type="auto"/>
            <w:vAlign w:val="center"/>
            <w:hideMark/>
          </w:tcPr>
          <w:p w14:paraId="58C75596"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CPU</w:t>
            </w:r>
          </w:p>
        </w:tc>
      </w:tr>
      <w:tr w:rsidR="00E917C5" w:rsidRPr="009B41D2" w14:paraId="707F689E" w14:textId="77777777" w:rsidTr="001C158F">
        <w:trPr>
          <w:tblCellSpacing w:w="15" w:type="dxa"/>
        </w:trPr>
        <w:tc>
          <w:tcPr>
            <w:tcW w:w="0" w:type="auto"/>
            <w:vAlign w:val="center"/>
            <w:hideMark/>
          </w:tcPr>
          <w:p w14:paraId="001F7EBE"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Operating system</w:t>
            </w:r>
          </w:p>
        </w:tc>
        <w:tc>
          <w:tcPr>
            <w:tcW w:w="0" w:type="auto"/>
            <w:vAlign w:val="center"/>
            <w:hideMark/>
          </w:tcPr>
          <w:p w14:paraId="534DF366"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Microsoft Windows 11 Pro, 64-bit</w:t>
            </w:r>
          </w:p>
        </w:tc>
      </w:tr>
      <w:tr w:rsidR="00E917C5" w:rsidRPr="009B41D2" w14:paraId="13E52C82" w14:textId="77777777" w:rsidTr="001C158F">
        <w:trPr>
          <w:tblCellSpacing w:w="15" w:type="dxa"/>
        </w:trPr>
        <w:tc>
          <w:tcPr>
            <w:tcW w:w="0" w:type="auto"/>
            <w:vAlign w:val="center"/>
            <w:hideMark/>
          </w:tcPr>
          <w:p w14:paraId="62DD7872"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Operating-system version</w:t>
            </w:r>
          </w:p>
        </w:tc>
        <w:tc>
          <w:tcPr>
            <w:tcW w:w="0" w:type="auto"/>
            <w:vAlign w:val="center"/>
            <w:hideMark/>
          </w:tcPr>
          <w:p w14:paraId="6562A1C7"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10.0.22000</w:t>
            </w:r>
          </w:p>
        </w:tc>
      </w:tr>
      <w:tr w:rsidR="00E917C5" w:rsidRPr="009B41D2" w14:paraId="5539B263" w14:textId="77777777" w:rsidTr="001C158F">
        <w:trPr>
          <w:tblCellSpacing w:w="15" w:type="dxa"/>
        </w:trPr>
        <w:tc>
          <w:tcPr>
            <w:tcW w:w="0" w:type="auto"/>
            <w:vAlign w:val="center"/>
            <w:hideMark/>
          </w:tcPr>
          <w:p w14:paraId="59E92934"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Operating-system build</w:t>
            </w:r>
          </w:p>
        </w:tc>
        <w:tc>
          <w:tcPr>
            <w:tcW w:w="0" w:type="auto"/>
            <w:vAlign w:val="center"/>
            <w:hideMark/>
          </w:tcPr>
          <w:p w14:paraId="60DE8FA6"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22000</w:t>
            </w:r>
          </w:p>
        </w:tc>
      </w:tr>
      <w:tr w:rsidR="00E917C5" w:rsidRPr="009B41D2" w14:paraId="67EF7384" w14:textId="77777777" w:rsidTr="001C158F">
        <w:trPr>
          <w:tblCellSpacing w:w="15" w:type="dxa"/>
        </w:trPr>
        <w:tc>
          <w:tcPr>
            <w:tcW w:w="0" w:type="auto"/>
            <w:vAlign w:val="center"/>
            <w:hideMark/>
          </w:tcPr>
          <w:p w14:paraId="217D6D10"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lastRenderedPageBreak/>
              <w:t>Python</w:t>
            </w:r>
          </w:p>
        </w:tc>
        <w:tc>
          <w:tcPr>
            <w:tcW w:w="0" w:type="auto"/>
            <w:vAlign w:val="center"/>
            <w:hideMark/>
          </w:tcPr>
          <w:p w14:paraId="63CDC445"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3.13.5</w:t>
            </w:r>
          </w:p>
        </w:tc>
      </w:tr>
      <w:tr w:rsidR="00E917C5" w:rsidRPr="009B41D2" w14:paraId="73088BAB" w14:textId="77777777" w:rsidTr="001C158F">
        <w:trPr>
          <w:tblCellSpacing w:w="15" w:type="dxa"/>
        </w:trPr>
        <w:tc>
          <w:tcPr>
            <w:tcW w:w="0" w:type="auto"/>
            <w:vAlign w:val="center"/>
            <w:hideMark/>
          </w:tcPr>
          <w:p w14:paraId="682F70BB"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PyTorch</w:t>
            </w:r>
          </w:p>
        </w:tc>
        <w:tc>
          <w:tcPr>
            <w:tcW w:w="0" w:type="auto"/>
            <w:vAlign w:val="center"/>
            <w:hideMark/>
          </w:tcPr>
          <w:p w14:paraId="7F04B7B5"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2.8.0+cpu</w:t>
            </w:r>
          </w:p>
        </w:tc>
      </w:tr>
      <w:tr w:rsidR="00E917C5" w:rsidRPr="009B41D2" w14:paraId="4FD00AC8" w14:textId="77777777" w:rsidTr="001C158F">
        <w:trPr>
          <w:tblCellSpacing w:w="15" w:type="dxa"/>
        </w:trPr>
        <w:tc>
          <w:tcPr>
            <w:tcW w:w="0" w:type="auto"/>
            <w:vAlign w:val="center"/>
            <w:hideMark/>
          </w:tcPr>
          <w:p w14:paraId="29E31523"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Anomalib</w:t>
            </w:r>
          </w:p>
        </w:tc>
        <w:tc>
          <w:tcPr>
            <w:tcW w:w="0" w:type="auto"/>
            <w:vAlign w:val="center"/>
            <w:hideMark/>
          </w:tcPr>
          <w:p w14:paraId="07AE967E"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2.5.0</w:t>
            </w:r>
          </w:p>
        </w:tc>
      </w:tr>
      <w:tr w:rsidR="00E917C5" w:rsidRPr="009B41D2" w14:paraId="5D5834F0" w14:textId="77777777" w:rsidTr="001C158F">
        <w:trPr>
          <w:tblCellSpacing w:w="15" w:type="dxa"/>
        </w:trPr>
        <w:tc>
          <w:tcPr>
            <w:tcW w:w="0" w:type="auto"/>
            <w:vAlign w:val="center"/>
            <w:hideMark/>
          </w:tcPr>
          <w:p w14:paraId="7B3A7E88"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OpenCV</w:t>
            </w:r>
          </w:p>
        </w:tc>
        <w:tc>
          <w:tcPr>
            <w:tcW w:w="0" w:type="auto"/>
            <w:vAlign w:val="center"/>
            <w:hideMark/>
          </w:tcPr>
          <w:p w14:paraId="0E152C7B" w14:textId="77777777" w:rsidR="00E917C5" w:rsidRPr="009B41D2" w:rsidRDefault="00E917C5" w:rsidP="001C158F">
            <w:pPr>
              <w:spacing w:after="0"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4.13.0</w:t>
            </w:r>
          </w:p>
        </w:tc>
      </w:tr>
    </w:tbl>
    <w:p w14:paraId="1BF3B541" w14:textId="77777777" w:rsidR="00E917C5" w:rsidRPr="009B41D2"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 xml:space="preserve">PyTorch 2.8.0 was installed as a CPU-only build, as indicated by the </w:t>
      </w:r>
      <w:r w:rsidRPr="009B41D2">
        <w:rPr>
          <w:rFonts w:ascii="Courier New" w:eastAsia="Times New Roman" w:hAnsi="Courier New" w:cs="Courier New"/>
          <w:sz w:val="20"/>
          <w:szCs w:val="20"/>
        </w:rPr>
        <w:t>+cpu</w:t>
      </w:r>
      <w:r w:rsidRPr="009B41D2">
        <w:rPr>
          <w:rFonts w:ascii="Times New Roman" w:eastAsia="Times New Roman" w:hAnsi="Times New Roman" w:cs="Times New Roman"/>
          <w:sz w:val="24"/>
          <w:szCs w:val="24"/>
        </w:rPr>
        <w:t xml:space="preserve"> package suffix and the absence of a linked CUDA toolkit. Anomalib 2.5.0 provided the implementations of PatchCore and PaDiM, together with common dataset handling, prediction and evaluation utilities. OpenCV 4.13.0 was used for image processing operations, including anomaly-map post-processing, binary thresholding, morphological operations, connected-component analysis and annotated output generation.</w:t>
      </w:r>
    </w:p>
    <w:p w14:paraId="6F7D3ED3" w14:textId="77777777" w:rsidR="00E917C5" w:rsidRPr="009B41D2"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PostgreSQL 16 was deployed through Docker Desktop and Docker Compose to provide persistent storage for inspection records and operator-review decisions. FastAPI was used to expose the audit database and quality-disposition functions through a structured backend interface, while NiceGUI provided the browser-based operator dashboard. Git and GitHub were used for source control, experiment tracking and documentation management.</w:t>
      </w:r>
    </w:p>
    <w:p w14:paraId="32E0180B" w14:textId="77777777" w:rsidR="00E917C5" w:rsidRPr="009B41D2"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9B41D2">
        <w:rPr>
          <w:rFonts w:ascii="Times New Roman" w:eastAsia="Times New Roman" w:hAnsi="Times New Roman" w:cs="Times New Roman"/>
          <w:sz w:val="24"/>
          <w:szCs w:val="24"/>
        </w:rPr>
        <w:t>Although the workstation had limited memory and no dedicated CUDA-capable GPU, it was sufficient to execute the selected MVTec AD experiments and demonstrate the complete inspection workflow. The use of comparatively modest hardware also showed that the prototype could be developed and evaluated without specialised high-performance computing infrastructure. However, deployment at production-line throughput would require further benchmarking on more powerful hardware, particularly where low-latency processing of continuous camera streams is required.</w:t>
      </w:r>
    </w:p>
    <w:p w14:paraId="5A072D58" w14:textId="77777777" w:rsidR="00E917C5" w:rsidRPr="00B20C11" w:rsidRDefault="00E917C5" w:rsidP="00E917C5">
      <w:pPr>
        <w:spacing w:before="100" w:beforeAutospacing="1" w:after="100" w:afterAutospacing="1" w:line="240" w:lineRule="auto"/>
        <w:outlineLvl w:val="1"/>
        <w:rPr>
          <w:rFonts w:ascii="Times New Roman" w:eastAsia="Times New Roman" w:hAnsi="Times New Roman" w:cs="Times New Roman"/>
          <w:b/>
          <w:bCs/>
          <w:sz w:val="36"/>
          <w:szCs w:val="36"/>
        </w:rPr>
      </w:pPr>
      <w:r w:rsidRPr="00B20C11">
        <w:rPr>
          <w:rFonts w:ascii="Times New Roman" w:eastAsia="Times New Roman" w:hAnsi="Times New Roman" w:cs="Times New Roman"/>
          <w:b/>
          <w:bCs/>
          <w:sz w:val="36"/>
          <w:szCs w:val="36"/>
        </w:rPr>
        <w:t>3.6 Initial statistical baseline</w:t>
      </w:r>
    </w:p>
    <w:p w14:paraId="60637085"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A simple normal-reference statistical detector was implemented during the early development stage. This model provided an immediately executable baseline that allowed the ingestion, localisation, semantic, risk, gating and output stages to be tested before the Anomalib models were fully integrated.</w:t>
      </w:r>
    </w:p>
    <w:p w14:paraId="61E07934"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statistical model estimated normal appearance from reference images and calculated deviations between test images and the learned normal reference. An original operating threshold and a tuned threshold of 0.7 were evaluated. The statistical detector was not intended to represent the final anomaly detection solution. Its role was to validate the end-to-end software architecture and provide a conventional baseline against which the integrated deep-feature approaches could be compared.</w:t>
      </w:r>
    </w:p>
    <w:p w14:paraId="7B96A664" w14:textId="77777777" w:rsidR="00E917C5" w:rsidRPr="00B20C11" w:rsidRDefault="00E917C5" w:rsidP="00E917C5">
      <w:pPr>
        <w:spacing w:before="100" w:beforeAutospacing="1" w:after="100" w:afterAutospacing="1" w:line="240" w:lineRule="auto"/>
        <w:outlineLvl w:val="1"/>
        <w:rPr>
          <w:rFonts w:ascii="Times New Roman" w:eastAsia="Times New Roman" w:hAnsi="Times New Roman" w:cs="Times New Roman"/>
          <w:b/>
          <w:bCs/>
          <w:sz w:val="36"/>
          <w:szCs w:val="36"/>
        </w:rPr>
      </w:pPr>
      <w:r w:rsidRPr="00B20C11">
        <w:rPr>
          <w:rFonts w:ascii="Times New Roman" w:eastAsia="Times New Roman" w:hAnsi="Times New Roman" w:cs="Times New Roman"/>
          <w:b/>
          <w:bCs/>
          <w:sz w:val="36"/>
          <w:szCs w:val="36"/>
        </w:rPr>
        <w:t>3.7 Deep-feature anomaly detection</w:t>
      </w:r>
    </w:p>
    <w:p w14:paraId="5D7A36BF" w14:textId="77777777" w:rsidR="00E917C5" w:rsidRPr="00B20C11" w:rsidRDefault="00E917C5" w:rsidP="00E917C5">
      <w:pPr>
        <w:spacing w:before="100" w:beforeAutospacing="1" w:after="100" w:afterAutospacing="1" w:line="240" w:lineRule="auto"/>
        <w:outlineLvl w:val="2"/>
        <w:rPr>
          <w:rFonts w:ascii="Times New Roman" w:eastAsia="Times New Roman" w:hAnsi="Times New Roman" w:cs="Times New Roman"/>
          <w:b/>
          <w:bCs/>
          <w:sz w:val="27"/>
          <w:szCs w:val="27"/>
        </w:rPr>
      </w:pPr>
      <w:r w:rsidRPr="00B20C11">
        <w:rPr>
          <w:rFonts w:ascii="Times New Roman" w:eastAsia="Times New Roman" w:hAnsi="Times New Roman" w:cs="Times New Roman"/>
          <w:b/>
          <w:bCs/>
          <w:sz w:val="27"/>
          <w:szCs w:val="27"/>
        </w:rPr>
        <w:t>3.7.1 Shared feature-extraction principle</w:t>
      </w:r>
    </w:p>
    <w:p w14:paraId="3493374C"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lastRenderedPageBreak/>
        <w:t xml:space="preserve">PatchCore and PaDiM use convolutional feature embeddings rather than learning a binary defect classifier from labelled defective images. A pre-trained residual network transforms an input image into intermediate feature maps. Residual networks use shortcut connections to support the optimisation of deeper representations and have become established feature extractors for computer vision tasks (He </w:t>
      </w:r>
      <w:r w:rsidRPr="00B20C11">
        <w:rPr>
          <w:rFonts w:ascii="Times New Roman" w:eastAsia="Times New Roman" w:hAnsi="Times New Roman" w:cs="Times New Roman"/>
          <w:i/>
          <w:iCs/>
          <w:sz w:val="24"/>
          <w:szCs w:val="24"/>
        </w:rPr>
        <w:t>et al.</w:t>
      </w:r>
      <w:r w:rsidRPr="00B20C11">
        <w:rPr>
          <w:rFonts w:ascii="Times New Roman" w:eastAsia="Times New Roman" w:hAnsi="Times New Roman" w:cs="Times New Roman"/>
          <w:sz w:val="24"/>
          <w:szCs w:val="24"/>
        </w:rPr>
        <w:t>, 2016).</w:t>
      </w:r>
    </w:p>
    <w:p w14:paraId="0EBD2665"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feature extractor remained pre-trained during the anomaly modelling stage. Normal product images were passed through selected intermediate layers, and the resulting spatial feature vectors were used to represent normal appearance. The methods therefore fitted an anomaly model over extracted features rather than training the backbone from the beginning.</w:t>
      </w:r>
    </w:p>
    <w:p w14:paraId="0976A49F"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This approach was appropriate for the selected industrial setting because the training partition contained normal images only. It also reflected a realistic manufacturing condition in which normal products are readily available but representative examples of every possible defect are difficult to collect.</w:t>
      </w:r>
    </w:p>
    <w:p w14:paraId="27961685" w14:textId="77777777" w:rsidR="00E917C5" w:rsidRPr="00B20C11" w:rsidRDefault="00E917C5" w:rsidP="00E917C5">
      <w:pPr>
        <w:spacing w:before="100" w:beforeAutospacing="1" w:after="100" w:afterAutospacing="1" w:line="240" w:lineRule="auto"/>
        <w:outlineLvl w:val="2"/>
        <w:rPr>
          <w:rFonts w:ascii="Times New Roman" w:eastAsia="Times New Roman" w:hAnsi="Times New Roman" w:cs="Times New Roman"/>
          <w:b/>
          <w:bCs/>
          <w:sz w:val="27"/>
          <w:szCs w:val="27"/>
        </w:rPr>
      </w:pPr>
      <w:r w:rsidRPr="00B20C11">
        <w:rPr>
          <w:rFonts w:ascii="Times New Roman" w:eastAsia="Times New Roman" w:hAnsi="Times New Roman" w:cs="Times New Roman"/>
          <w:b/>
          <w:bCs/>
          <w:sz w:val="27"/>
          <w:szCs w:val="27"/>
        </w:rPr>
        <w:t>3.7.2 PaDiM</w:t>
      </w:r>
    </w:p>
    <w:p w14:paraId="43EAACFB"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PaDiM was implemented as the distribution-modelling anomaly detector. Features were extracted from several layers of a pre-trained residual network and aligned to form a patch embedding for each spatial location.</w:t>
      </w:r>
    </w:p>
    <w:p w14:paraId="1CFAE9A9"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For spatial position (p), the normal training embeddings were modelled using a multivariate Gaussian distribution:</w:t>
      </w:r>
    </w:p>
    <w:p w14:paraId="60E2AF04" w14:textId="77777777" w:rsidR="00E917C5" w:rsidRPr="008E4C30" w:rsidRDefault="00E917C5" w:rsidP="00E917C5">
      <w:pPr>
        <w:rPr>
          <w:rFonts w:eastAsiaTheme="minorEastAsia"/>
        </w:rPr>
      </w:pPr>
      <m:oMathPara>
        <m:oMath>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p</m:t>
              </m:r>
            </m:sub>
          </m:sSub>
          <m:r>
            <m:rPr>
              <m:sty m:val="p"/>
            </m:rPr>
            <w:rPr>
              <w:rFonts w:ascii="Cambria Math" w:hAnsi="Cambria Math"/>
            </w:rPr>
            <m:t>∼</m:t>
          </m:r>
          <m:r>
            <m:rPr>
              <m:scr m:val="script"/>
            </m:rPr>
            <w:rPr>
              <w:rFonts w:ascii="Cambria Math" w:hAnsi="Cambria Math"/>
            </w:rPr>
            <m:t>N</m:t>
          </m:r>
          <m:d>
            <m:dPr>
              <m:ctrlPr>
                <w:rPr>
                  <w:rFonts w:ascii="Cambria Math" w:hAnsi="Cambria Math"/>
                </w:rPr>
              </m:ctrlPr>
            </m:dPr>
            <m:e>
              <m:sSub>
                <m:sSubPr>
                  <m:ctrlPr>
                    <w:rPr>
                      <w:rFonts w:ascii="Cambria Math" w:hAnsi="Cambria Math"/>
                      <w:i/>
                    </w:rPr>
                  </m:ctrlPr>
                </m:sSubPr>
                <m:e>
                  <m:r>
                    <m:rPr>
                      <m:sty m:val="bi"/>
                    </m:rPr>
                    <w:rPr>
                      <w:rFonts w:ascii="Cambria Math" w:hAnsi="Cambria Math"/>
                    </w:rPr>
                    <m:t>μ</m:t>
                  </m:r>
                </m:e>
                <m:sub>
                  <m:r>
                    <m:rPr>
                      <m:sty m:val="bi"/>
                    </m:rPr>
                    <w:rPr>
                      <w:rFonts w:ascii="Cambria Math" w:hAnsi="Cambria Math"/>
                    </w:rPr>
                    <m:t>p</m:t>
                  </m:r>
                </m:sub>
              </m:sSub>
              <m:r>
                <w:rPr>
                  <w:rFonts w:ascii="Cambria Math" w:hAnsi="Cambria Math"/>
                </w:rPr>
                <m:t>,</m:t>
              </m:r>
              <m:sSub>
                <m:sSubPr>
                  <m:ctrlPr>
                    <w:rPr>
                      <w:rFonts w:ascii="Cambria Math" w:hAnsi="Cambria Math"/>
                      <w:i/>
                    </w:rPr>
                  </m:ctrlPr>
                </m:sSubPr>
                <m:e>
                  <m:r>
                    <m:rPr>
                      <m:sty m:val="b"/>
                    </m:rPr>
                    <w:rPr>
                      <w:rFonts w:ascii="Cambria Math" w:hAnsi="Cambria Math"/>
                    </w:rPr>
                    <m:t>Σ</m:t>
                  </m:r>
                </m:e>
                <m:sub>
                  <m:r>
                    <m:rPr>
                      <m:sty m:val="bi"/>
                    </m:rPr>
                    <w:rPr>
                      <w:rFonts w:ascii="Cambria Math" w:hAnsi="Cambria Math"/>
                    </w:rPr>
                    <m:t>p</m:t>
                  </m:r>
                </m:sub>
              </m:sSub>
              <m:ctrlPr>
                <w:rPr>
                  <w:rFonts w:ascii="Cambria Math" w:hAnsi="Cambria Math"/>
                  <w:i/>
                </w:rPr>
              </m:ctrlPr>
            </m:e>
          </m:d>
        </m:oMath>
      </m:oMathPara>
    </w:p>
    <w:p w14:paraId="73611640"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μ</m:t>
            </m:r>
          </m:e>
          <m:sub>
            <m:r>
              <w:rPr>
                <w:rFonts w:ascii="Cambria Math" w:eastAsia="Times New Roman" w:hAnsi="Cambria Math" w:cs="Times New Roman"/>
                <w:sz w:val="24"/>
                <w:szCs w:val="24"/>
              </w:rPr>
              <m:t>p</m:t>
            </m:r>
          </m:sub>
        </m:sSub>
      </m:oMath>
      <w:r w:rsidRPr="00B20C11">
        <w:rPr>
          <w:rFonts w:ascii="Times New Roman" w:eastAsia="Times New Roman" w:hAnsi="Times New Roman" w:cs="Times New Roman"/>
          <w:i/>
          <w:iCs/>
          <w:sz w:val="24"/>
          <w:szCs w:val="24"/>
        </w:rPr>
        <w:t xml:space="preserve"> is the mean normal embedding and</w:t>
      </w:r>
      <w:r>
        <w:rPr>
          <w:rFonts w:ascii="Times New Roman" w:eastAsia="Times New Roman" w:hAnsi="Times New Roman" w:cs="Times New Roman"/>
          <w:i/>
          <w:iCs/>
          <w:sz w:val="24"/>
          <w:szCs w:val="24"/>
        </w:rPr>
        <w:t xml:space="preserve"> </w:t>
      </w:r>
      <m:oMath>
        <m:sSub>
          <m:sSubPr>
            <m:ctrlPr>
              <w:rPr>
                <w:rFonts w:ascii="Cambria Math" w:eastAsia="Times New Roman" w:hAnsi="Cambria Math" w:cs="Times New Roman"/>
                <w:i/>
                <w:iCs/>
                <w:sz w:val="24"/>
                <w:szCs w:val="24"/>
              </w:rPr>
            </m:ctrlPr>
          </m:sSubPr>
          <m:e>
            <m:r>
              <m:rPr>
                <m:sty m:val="p"/>
              </m:rPr>
              <w:rPr>
                <w:rFonts w:ascii="Cambria Math" w:eastAsia="Times New Roman" w:hAnsi="Cambria Math" w:cs="Times New Roman"/>
                <w:sz w:val="24"/>
                <w:szCs w:val="24"/>
              </w:rPr>
              <m:t>Σ</m:t>
            </m:r>
          </m:e>
          <m:sub>
            <m:r>
              <w:rPr>
                <w:rFonts w:ascii="Cambria Math" w:eastAsia="Times New Roman" w:hAnsi="Cambria Math" w:cs="Times New Roman"/>
                <w:sz w:val="24"/>
                <w:szCs w:val="24"/>
              </w:rPr>
              <m:t>p</m:t>
            </m:r>
          </m:sub>
        </m:sSub>
      </m:oMath>
      <w:r w:rsidRPr="00B20C11">
        <w:rPr>
          <w:rFonts w:ascii="Times New Roman" w:eastAsia="Times New Roman" w:hAnsi="Times New Roman" w:cs="Times New Roman"/>
          <w:sz w:val="24"/>
          <w:szCs w:val="24"/>
        </w:rPr>
        <w:t xml:space="preserve"> is the covariance matrix at location </w:t>
      </w:r>
      <m:oMath>
        <m:r>
          <w:rPr>
            <w:rFonts w:ascii="Cambria Math" w:eastAsia="Times New Roman" w:hAnsi="Cambria Math" w:cs="Times New Roman"/>
            <w:sz w:val="24"/>
            <w:szCs w:val="24"/>
          </w:rPr>
          <m:t>p</m:t>
        </m:r>
      </m:oMath>
      <w:r>
        <w:rPr>
          <w:rFonts w:ascii="Times New Roman" w:eastAsia="Times New Roman" w:hAnsi="Times New Roman" w:cs="Times New Roman"/>
          <w:sz w:val="24"/>
          <w:szCs w:val="24"/>
        </w:rPr>
        <w:t>.</w:t>
      </w:r>
    </w:p>
    <w:p w14:paraId="6E9F815E"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During inference, the anomaly score for test embedding</w:t>
      </w:r>
      <w:r>
        <w:rPr>
          <w:rFonts w:ascii="Times New Roman" w:eastAsia="Times New Roman" w:hAnsi="Times New Roman" w:cs="Times New Roman"/>
          <w:sz w:val="24"/>
          <w:szCs w:val="24"/>
        </w:rPr>
        <w:t xml:space="preserve"> </w:t>
      </w:r>
      <m:oMath>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p</m:t>
            </m:r>
          </m:sub>
        </m:sSub>
      </m:oMath>
      <w:r>
        <w:rPr>
          <w:rFonts w:ascii="Times New Roman" w:eastAsia="Times New Roman" w:hAnsi="Times New Roman" w:cs="Times New Roman"/>
          <w:sz w:val="24"/>
          <w:szCs w:val="24"/>
        </w:rPr>
        <w:t xml:space="preserve"> </w:t>
      </w:r>
      <w:r w:rsidRPr="00B20C11">
        <w:rPr>
          <w:rFonts w:ascii="Times New Roman" w:eastAsia="Times New Roman" w:hAnsi="Times New Roman" w:cs="Times New Roman"/>
          <w:sz w:val="24"/>
          <w:szCs w:val="24"/>
        </w:rPr>
        <w:t>was calculated using the Mahalanobis distance:</w:t>
      </w:r>
    </w:p>
    <w:p w14:paraId="7832F78B" w14:textId="77777777" w:rsidR="00E917C5" w:rsidRPr="00381612" w:rsidRDefault="00E917C5" w:rsidP="00E917C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p</m:t>
              </m:r>
            </m:sub>
          </m:sSub>
          <m:r>
            <w:rPr>
              <w:rFonts w:ascii="Cambria Math" w:eastAsiaTheme="minorEastAsia" w:hAnsi="Cambria Math"/>
            </w:rPr>
            <m:t>=</m:t>
          </m:r>
          <m:rad>
            <m:radPr>
              <m:degHide m:val="1"/>
              <m:ctrlPr>
                <w:rPr>
                  <w:rFonts w:ascii="Cambria Math" w:eastAsiaTheme="minorEastAsia" w:hAnsi="Cambria Math"/>
                </w:rPr>
              </m:ctrlPr>
            </m:radPr>
            <m:deg>
              <m:ctrlPr>
                <w:rPr>
                  <w:rFonts w:ascii="Cambria Math" w:eastAsiaTheme="minorEastAsia" w:hAnsi="Cambria Math"/>
                  <w:i/>
                </w:rPr>
              </m:ctrlPr>
            </m:deg>
            <m:e>
              <m:sSup>
                <m:sSupPr>
                  <m:ctrlPr>
                    <w:rPr>
                      <w:rFonts w:ascii="Cambria Math" w:eastAsiaTheme="minorEastAsia" w:hAnsi="Cambria Math"/>
                      <w:i/>
                    </w:rPr>
                  </m:ctrlPr>
                </m:sSupPr>
                <m:e>
                  <m:d>
                    <m:dPr>
                      <m:ctrlPr>
                        <w:rPr>
                          <w:rFonts w:ascii="Cambria Math" w:eastAsiaTheme="minorEastAsia" w:hAnsi="Cambria Math"/>
                        </w:rPr>
                      </m:ctrlPr>
                    </m:dPr>
                    <m:e>
                      <m:sSub>
                        <m:sSubPr>
                          <m:ctrlPr>
                            <w:rPr>
                              <w:rFonts w:ascii="Cambria Math" w:eastAsiaTheme="minorEastAsia" w:hAnsi="Cambria Math"/>
                              <w:i/>
                            </w:rPr>
                          </m:ctrlPr>
                        </m:sSubPr>
                        <m:e>
                          <m:r>
                            <m:rPr>
                              <m:sty m:val="bi"/>
                            </m:rPr>
                            <w:rPr>
                              <w:rFonts w:ascii="Cambria Math" w:eastAsiaTheme="minorEastAsia" w:hAnsi="Cambria Math"/>
                            </w:rPr>
                            <m:t>x</m:t>
                          </m:r>
                        </m:e>
                        <m:sub>
                          <m:r>
                            <m:rPr>
                              <m:sty m:val="bi"/>
                            </m:rP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μ</m:t>
                          </m:r>
                        </m:e>
                        <m:sub>
                          <m:r>
                            <m:rPr>
                              <m:sty m:val="bi"/>
                            </m:rPr>
                            <w:rPr>
                              <w:rFonts w:ascii="Cambria Math" w:eastAsiaTheme="minorEastAsia" w:hAnsi="Cambria Math"/>
                            </w:rPr>
                            <m:t>p</m:t>
                          </m:r>
                        </m:sub>
                      </m:sSub>
                      <m:ctrlPr>
                        <w:rPr>
                          <w:rFonts w:ascii="Cambria Math" w:eastAsiaTheme="minorEastAsia" w:hAnsi="Cambria Math"/>
                          <w:i/>
                        </w:rPr>
                      </m:ctrlPr>
                    </m:e>
                  </m:d>
                </m:e>
                <m:sup>
                  <m:r>
                    <w:rPr>
                      <w:rFonts w:ascii="Cambria Math" w:eastAsiaTheme="minorEastAsia" w:hAnsi="Cambria Math"/>
                    </w:rPr>
                    <m:t>T</m:t>
                  </m:r>
                  <m:sSubSup>
                    <m:sSubSupPr>
                      <m:ctrlPr>
                        <w:rPr>
                          <w:rFonts w:ascii="Cambria Math" w:eastAsiaTheme="minorEastAsia" w:hAnsi="Cambria Math"/>
                          <w:i/>
                        </w:rPr>
                      </m:ctrlPr>
                    </m:sSubSupPr>
                    <m:e>
                      <m:r>
                        <m:rPr>
                          <m:sty m:val="b"/>
                        </m:rPr>
                        <w:rPr>
                          <w:rFonts w:ascii="Cambria Math" w:eastAsiaTheme="minorEastAsia" w:hAnsi="Cambria Math"/>
                        </w:rPr>
                        <m:t>Σ</m:t>
                      </m:r>
                    </m:e>
                    <m:sub>
                      <m:r>
                        <m:rPr>
                          <m:sty m:val="bi"/>
                        </m:rPr>
                        <w:rPr>
                          <w:rFonts w:ascii="Cambria Math" w:eastAsiaTheme="minorEastAsia" w:hAnsi="Cambria Math"/>
                        </w:rPr>
                        <m:t>p</m:t>
                      </m:r>
                    </m:sub>
                    <m:sup>
                      <m:r>
                        <w:rPr>
                          <w:rFonts w:ascii="Cambria Math" w:eastAsiaTheme="minorEastAsia" w:hAnsi="Cambria Math"/>
                        </w:rPr>
                        <m:t>-</m:t>
                      </m:r>
                      <m:r>
                        <m:rPr>
                          <m:sty m:val="bi"/>
                        </m:rPr>
                        <w:rPr>
                          <w:rFonts w:ascii="Cambria Math" w:eastAsiaTheme="minorEastAsia" w:hAnsi="Cambria Math"/>
                        </w:rPr>
                        <m:t>1</m:t>
                      </m:r>
                    </m:sup>
                  </m:sSubSup>
                </m:sup>
              </m:sSup>
              <m:d>
                <m:dPr>
                  <m:ctrlPr>
                    <w:rPr>
                      <w:rFonts w:ascii="Cambria Math" w:eastAsiaTheme="minorEastAsia" w:hAnsi="Cambria Math"/>
                    </w:rPr>
                  </m:ctrlPr>
                </m:dPr>
                <m:e>
                  <m:sSub>
                    <m:sSubPr>
                      <m:ctrlPr>
                        <w:rPr>
                          <w:rFonts w:ascii="Cambria Math" w:eastAsiaTheme="minorEastAsia" w:hAnsi="Cambria Math"/>
                          <w:i/>
                        </w:rPr>
                      </m:ctrlPr>
                    </m:sSubPr>
                    <m:e>
                      <m:r>
                        <m:rPr>
                          <m:sty m:val="bi"/>
                        </m:rPr>
                        <w:rPr>
                          <w:rFonts w:ascii="Cambria Math" w:eastAsiaTheme="minorEastAsia" w:hAnsi="Cambria Math"/>
                        </w:rPr>
                        <m:t>x</m:t>
                      </m:r>
                    </m:e>
                    <m:sub>
                      <m:r>
                        <m:rPr>
                          <m:sty m:val="bi"/>
                        </m:rP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μ</m:t>
                      </m:r>
                    </m:e>
                    <m:sub>
                      <m:r>
                        <m:rPr>
                          <m:sty m:val="bi"/>
                        </m:rPr>
                        <w:rPr>
                          <w:rFonts w:ascii="Cambria Math" w:eastAsiaTheme="minorEastAsia" w:hAnsi="Cambria Math"/>
                        </w:rPr>
                        <m:t>p</m:t>
                      </m:r>
                    </m:sub>
                  </m:sSub>
                  <m:ctrlPr>
                    <w:rPr>
                      <w:rFonts w:ascii="Cambria Math" w:eastAsiaTheme="minorEastAsia" w:hAnsi="Cambria Math"/>
                      <w:i/>
                    </w:rPr>
                  </m:ctrlPr>
                </m:e>
              </m:d>
            </m:e>
          </m:rad>
        </m:oMath>
      </m:oMathPara>
    </w:p>
    <w:p w14:paraId="564F8E33"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A large distance indicated that the test patch did not conform closely to the learned normal distribution. The spatial distances were assembled into an anomaly map, which was subsequently resized to the input-image resolution and used for localisation.</w:t>
      </w:r>
    </w:p>
    <w:p w14:paraId="450F1A5C"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PaDiM was initially evaluated with a </w:t>
      </w:r>
      <w:r w:rsidRPr="00B20C11">
        <w:rPr>
          <w:rFonts w:ascii="Courier New" w:eastAsia="Times New Roman" w:hAnsi="Courier New" w:cs="Courier New"/>
          <w:sz w:val="20"/>
          <w:szCs w:val="20"/>
        </w:rPr>
        <w:t>resnet18</w:t>
      </w:r>
      <w:r w:rsidRPr="00B20C11">
        <w:rPr>
          <w:rFonts w:ascii="Times New Roman" w:eastAsia="Times New Roman" w:hAnsi="Times New Roman" w:cs="Times New Roman"/>
          <w:sz w:val="24"/>
          <w:szCs w:val="24"/>
        </w:rPr>
        <w:t xml:space="preserve"> backbone using its supported default feature dimensionality. A </w:t>
      </w:r>
      <w:r w:rsidRPr="00B20C11">
        <w:rPr>
          <w:rFonts w:ascii="Courier New" w:eastAsia="Times New Roman" w:hAnsi="Courier New" w:cs="Courier New"/>
          <w:sz w:val="20"/>
          <w:szCs w:val="20"/>
        </w:rPr>
        <w:t>resnet50</w:t>
      </w:r>
      <w:r w:rsidRPr="00B20C11">
        <w:rPr>
          <w:rFonts w:ascii="Times New Roman" w:eastAsia="Times New Roman" w:hAnsi="Times New Roman" w:cs="Times New Roman"/>
          <w:sz w:val="24"/>
          <w:szCs w:val="24"/>
        </w:rPr>
        <w:t xml:space="preserve"> configuration was also evaluated. The installed Anomalib implementation required an explicit retained feature dimension for this backbone, so </w:t>
      </w:r>
      <w:r w:rsidRPr="00B20C11">
        <w:rPr>
          <w:rFonts w:ascii="Courier New" w:eastAsia="Times New Roman" w:hAnsi="Courier New" w:cs="Courier New"/>
          <w:sz w:val="20"/>
          <w:szCs w:val="20"/>
        </w:rPr>
        <w:t>n_features</w:t>
      </w:r>
      <w:r w:rsidRPr="00B20C11">
        <w:rPr>
          <w:rFonts w:ascii="Times New Roman" w:eastAsia="Times New Roman" w:hAnsi="Times New Roman" w:cs="Times New Roman"/>
          <w:sz w:val="24"/>
          <w:szCs w:val="24"/>
        </w:rPr>
        <w:t xml:space="preserve"> was set to 100. The same value was used across bottle, capsule and hazelnut to maintain consistency.</w:t>
      </w:r>
    </w:p>
    <w:p w14:paraId="6F732179"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lastRenderedPageBreak/>
        <w:t>PaDiM was retained throughout the project because it provided a statistically interpretable comparison to the non-parametric PatchCore memory bank. It also produced comparatively strong mask alignment in the localisation evaluation, even where its image-level classification performance was lower.</w:t>
      </w:r>
    </w:p>
    <w:p w14:paraId="2ED807EF" w14:textId="77777777" w:rsidR="00E917C5" w:rsidRPr="00B20C11" w:rsidRDefault="00E917C5" w:rsidP="00E917C5">
      <w:pPr>
        <w:spacing w:before="100" w:beforeAutospacing="1" w:after="100" w:afterAutospacing="1" w:line="240" w:lineRule="auto"/>
        <w:outlineLvl w:val="2"/>
        <w:rPr>
          <w:rFonts w:ascii="Times New Roman" w:eastAsia="Times New Roman" w:hAnsi="Times New Roman" w:cs="Times New Roman"/>
          <w:b/>
          <w:bCs/>
          <w:sz w:val="27"/>
          <w:szCs w:val="27"/>
        </w:rPr>
      </w:pPr>
      <w:r w:rsidRPr="00B20C11">
        <w:rPr>
          <w:rFonts w:ascii="Times New Roman" w:eastAsia="Times New Roman" w:hAnsi="Times New Roman" w:cs="Times New Roman"/>
          <w:b/>
          <w:bCs/>
          <w:sz w:val="27"/>
          <w:szCs w:val="27"/>
        </w:rPr>
        <w:t>3.7.3 PatchCore</w:t>
      </w:r>
    </w:p>
    <w:p w14:paraId="30B521BC"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PatchCore was implemented as the memory-bank anomaly detector. Intermediate local features were extracted from the normal training images and aggregated into patch-level embeddings. These embeddings described the range of normal local appearances observed across the training set.</w:t>
      </w:r>
    </w:p>
    <w:p w14:paraId="2FDBEED5"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If every normal embedding were retained, the memory bank could become unnecessarily large. PatchCore therefore uses coreset subsampling to select a representative subset of normal embeddings while preserving broad coverage of the normal feature space (Roth </w:t>
      </w:r>
      <w:r w:rsidRPr="00B20C11">
        <w:rPr>
          <w:rFonts w:ascii="Times New Roman" w:eastAsia="Times New Roman" w:hAnsi="Times New Roman" w:cs="Times New Roman"/>
          <w:i/>
          <w:iCs/>
          <w:sz w:val="24"/>
          <w:szCs w:val="24"/>
        </w:rPr>
        <w:t>et al.</w:t>
      </w:r>
      <w:r w:rsidRPr="00B20C11">
        <w:rPr>
          <w:rFonts w:ascii="Times New Roman" w:eastAsia="Times New Roman" w:hAnsi="Times New Roman" w:cs="Times New Roman"/>
          <w:sz w:val="24"/>
          <w:szCs w:val="24"/>
        </w:rPr>
        <w:t>, 2022).</w:t>
      </w:r>
    </w:p>
    <w:p w14:paraId="23662A70"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Let</w:t>
      </w:r>
      <w:r w:rsidRPr="00C715EE">
        <w:rPr>
          <w:rFonts w:ascii="Cambria Math" w:eastAsiaTheme="minorEastAsia" w:hAnsi="Cambria Math"/>
          <w:i/>
        </w:rPr>
        <w:t xml:space="preserve"> </w:t>
      </w:r>
      <m:oMath>
        <m:r>
          <m:rPr>
            <m:scr m:val="script"/>
            <m:sty m:val="bi"/>
          </m:rPr>
          <w:rPr>
            <w:rFonts w:ascii="Cambria Math" w:eastAsiaTheme="minorEastAsia" w:hAnsi="Cambria Math"/>
          </w:rPr>
          <m:t>M</m:t>
        </m:r>
      </m:oMath>
      <w:r w:rsidRPr="00B20C11">
        <w:rPr>
          <w:rFonts w:ascii="Times New Roman" w:eastAsia="Times New Roman" w:hAnsi="Times New Roman" w:cs="Times New Roman"/>
          <w:sz w:val="24"/>
          <w:szCs w:val="24"/>
        </w:rPr>
        <w:t xml:space="preserve"> represent the memory bank and </w:t>
      </w:r>
      <m:oMath>
        <m:r>
          <m:rPr>
            <m:sty m:val="bi"/>
          </m:rPr>
          <w:rPr>
            <w:rFonts w:ascii="Cambria Math" w:eastAsiaTheme="minorEastAsia" w:hAnsi="Cambria Math"/>
          </w:rPr>
          <m:t>q</m:t>
        </m:r>
      </m:oMath>
      <w:r w:rsidRPr="00B20C11">
        <w:rPr>
          <w:rFonts w:ascii="Times New Roman" w:eastAsia="Times New Roman" w:hAnsi="Times New Roman" w:cs="Times New Roman"/>
          <w:sz w:val="24"/>
          <w:szCs w:val="24"/>
        </w:rPr>
        <w:t xml:space="preserve"> a patch embedding from a test image. A basic patch anomaly score is the Euclidean distance to the nearest normal memory-bank element:</w:t>
      </w:r>
    </w:p>
    <w:p w14:paraId="2176C1FD" w14:textId="77777777" w:rsidR="00E917C5" w:rsidRPr="00381612" w:rsidRDefault="00E917C5" w:rsidP="00E917C5">
      <w:pPr>
        <w:rPr>
          <w:rFonts w:eastAsiaTheme="minorEastAsia"/>
        </w:rPr>
      </w:pPr>
      <m:oMathPara>
        <m:oMath>
          <m:r>
            <w:rPr>
              <w:rFonts w:ascii="Cambria Math" w:eastAsiaTheme="minorEastAsia" w:hAnsi="Cambria Math"/>
            </w:rPr>
            <m:t>s</m:t>
          </m:r>
          <m:d>
            <m:dPr>
              <m:ctrlPr>
                <w:rPr>
                  <w:rFonts w:ascii="Cambria Math" w:eastAsiaTheme="minorEastAsia" w:hAnsi="Cambria Math"/>
                </w:rPr>
              </m:ctrlPr>
            </m:dPr>
            <m:e>
              <m:r>
                <m:rPr>
                  <m:sty m:val="bi"/>
                </m:rPr>
                <w:rPr>
                  <w:rFonts w:ascii="Cambria Math" w:eastAsiaTheme="minorEastAsia" w:hAnsi="Cambria Math"/>
                </w:rPr>
                <m:t>q</m:t>
              </m:r>
              <m:ctrlPr>
                <w:rPr>
                  <w:rFonts w:ascii="Cambria Math" w:eastAsiaTheme="minorEastAsia" w:hAnsi="Cambria Math"/>
                  <w:i/>
                </w:rPr>
              </m:ctrlPr>
            </m:e>
          </m:d>
          <m:r>
            <w:rPr>
              <w:rFonts w:ascii="Cambria Math" w:eastAsiaTheme="minorEastAsia" w:hAnsi="Cambria Math"/>
            </w:rPr>
            <m:t>=</m:t>
          </m:r>
          <m:func>
            <m:funcPr>
              <m:ctrlPr>
                <w:rPr>
                  <w:rFonts w:ascii="Cambria Math" w:eastAsiaTheme="minorEastAsia" w:hAnsi="Cambria Math"/>
                </w:rPr>
              </m:ctrlPr>
            </m:funcPr>
            <m:fName>
              <m:limLow>
                <m:limLowPr>
                  <m:ctrlPr>
                    <w:rPr>
                      <w:rFonts w:ascii="Cambria Math" w:eastAsiaTheme="minorEastAsia" w:hAnsi="Cambria Math"/>
                      <w:i/>
                    </w:rPr>
                  </m:ctrlPr>
                </m:limLowPr>
                <m:e>
                  <m:r>
                    <m:rPr>
                      <m:sty m:val="p"/>
                    </m:rPr>
                    <w:rPr>
                      <w:rFonts w:ascii="Cambria Math" w:eastAsiaTheme="minorEastAsia" w:hAnsi="Cambria Math"/>
                    </w:rPr>
                    <m:t>min</m:t>
                  </m:r>
                </m:e>
                <m:lim>
                  <m:r>
                    <m:rPr>
                      <m:sty m:val="bi"/>
                    </m:rPr>
                    <w:rPr>
                      <w:rFonts w:ascii="Cambria Math" w:eastAsiaTheme="minorEastAsia" w:hAnsi="Cambria Math"/>
                    </w:rPr>
                    <m:t>m</m:t>
                  </m:r>
                  <m:r>
                    <m:rPr>
                      <m:sty m:val="p"/>
                    </m:rPr>
                    <w:rPr>
                      <w:rFonts w:ascii="Cambria Math" w:eastAsiaTheme="minorEastAsia" w:hAnsi="Cambria Math"/>
                    </w:rPr>
                    <m:t>∈</m:t>
                  </m:r>
                  <m:r>
                    <m:rPr>
                      <m:scr m:val="script"/>
                    </m:rPr>
                    <w:rPr>
                      <w:rFonts w:ascii="Cambria Math" w:eastAsiaTheme="minorEastAsia" w:hAnsi="Cambria Math"/>
                    </w:rPr>
                    <m:t>M</m:t>
                  </m:r>
                  <m:ctrlPr>
                    <w:rPr>
                      <w:rFonts w:ascii="Cambria Math" w:eastAsiaTheme="minorEastAsia" w:hAnsi="Cambria Math"/>
                    </w:rPr>
                  </m:ctrlPr>
                </m:lim>
              </m:limLow>
              <m:ctrlPr>
                <w:rPr>
                  <w:rFonts w:ascii="Cambria Math" w:eastAsiaTheme="minorEastAsia" w:hAnsi="Cambria Math"/>
                  <w:i/>
                </w:rPr>
              </m:ctrlPr>
            </m:fName>
            <m:e>
              <m:d>
                <m:dPr>
                  <m:begChr m:val=""/>
                  <m:endChr m:val=""/>
                  <m:ctrlPr>
                    <w:rPr>
                      <w:rFonts w:ascii="Cambria Math" w:eastAsiaTheme="minorEastAsia" w:hAnsi="Cambria Math"/>
                    </w:rPr>
                  </m:ctrlPr>
                </m:dPr>
                <m:e>
                  <m:r>
                    <m:rPr>
                      <m:lit/>
                    </m:rPr>
                    <w:rPr>
                      <w:rFonts w:ascii="Cambria Math" w:eastAsiaTheme="minorEastAsia" w:hAnsi="Cambria Math"/>
                    </w:rPr>
                    <m:t>|</m:t>
                  </m:r>
                  <m:r>
                    <m:rPr>
                      <m:sty m:val="bi"/>
                    </m:rPr>
                    <w:rPr>
                      <w:rFonts w:ascii="Cambria Math" w:eastAsiaTheme="minorEastAsia" w:hAnsi="Cambria Math"/>
                    </w:rPr>
                    <m:t>q</m:t>
                  </m:r>
                  <m:r>
                    <w:rPr>
                      <w:rFonts w:ascii="Cambria Math" w:eastAsiaTheme="minorEastAsia" w:hAnsi="Cambria Math"/>
                    </w:rPr>
                    <m:t>-</m:t>
                  </m:r>
                  <m:r>
                    <m:rPr>
                      <m:sty m:val="bi"/>
                    </m:rPr>
                    <w:rPr>
                      <w:rFonts w:ascii="Cambria Math" w:eastAsiaTheme="minorEastAsia" w:hAnsi="Cambria Math"/>
                    </w:rPr>
                    <m:t>m</m:t>
                  </m:r>
                </m:e>
              </m:d>
              <m:ctrlPr>
                <w:rPr>
                  <w:rFonts w:ascii="Cambria Math" w:eastAsiaTheme="minorEastAsia" w:hAnsi="Cambria Math"/>
                  <w:i/>
                </w:rPr>
              </m:ctrlPr>
            </m:e>
          </m:func>
          <m:sSub>
            <m:sSubPr>
              <m:ctrlPr>
                <w:rPr>
                  <w:rFonts w:ascii="Cambria Math" w:eastAsiaTheme="minorEastAsia" w:hAnsi="Cambria Math"/>
                  <w:i/>
                </w:rPr>
              </m:ctrlPr>
            </m:sSubPr>
            <m:e>
              <m:r>
                <m:rPr>
                  <m:lit/>
                </m:rPr>
                <w:rPr>
                  <w:rFonts w:ascii="Cambria Math" w:eastAsiaTheme="minorEastAsia" w:hAnsi="Cambria Math"/>
                </w:rPr>
                <m:t>|</m:t>
              </m:r>
            </m:e>
            <m:sub>
              <m:r>
                <w:rPr>
                  <w:rFonts w:ascii="Cambria Math" w:eastAsiaTheme="minorEastAsia" w:hAnsi="Cambria Math"/>
                </w:rPr>
                <m:t>2</m:t>
              </m:r>
            </m:sub>
          </m:sSub>
        </m:oMath>
      </m:oMathPara>
    </w:p>
    <w:p w14:paraId="63FCBC55"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Patches with small nearest-neighbour distances are similar to normal training patterns. Larger distances indicate that the local test representation is poorly covered by the normal memory bank and may therefore be anomalous. The patch scores are arranged spatially to create an anomaly map, while the largest or reweighted patch score contributes to the image-level anomaly score.</w:t>
      </w:r>
    </w:p>
    <w:p w14:paraId="71D1F646"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implementation parameterised the following PatchCore settings:</w:t>
      </w:r>
    </w:p>
    <w:p w14:paraId="1EE1BCC4" w14:textId="77777777" w:rsidR="00E917C5" w:rsidRPr="00B20C11" w:rsidRDefault="00E917C5" w:rsidP="00E917C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backbone architecture;</w:t>
      </w:r>
    </w:p>
    <w:p w14:paraId="55135CE1" w14:textId="77777777" w:rsidR="00E917C5" w:rsidRPr="00B20C11" w:rsidRDefault="00E917C5" w:rsidP="00E917C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coreset sampling ratio;</w:t>
      </w:r>
    </w:p>
    <w:p w14:paraId="62DF0DFC" w14:textId="77777777" w:rsidR="00E917C5" w:rsidRPr="00B20C11" w:rsidRDefault="00E917C5" w:rsidP="00E917C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number of nearest neighbours;</w:t>
      </w:r>
    </w:p>
    <w:p w14:paraId="22286C1E" w14:textId="77777777" w:rsidR="00E917C5" w:rsidRPr="00B20C11" w:rsidRDefault="00E917C5" w:rsidP="00E917C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training and evaluation batch size;</w:t>
      </w:r>
    </w:p>
    <w:p w14:paraId="03C88023" w14:textId="77777777" w:rsidR="00E917C5" w:rsidRPr="00B20C11" w:rsidRDefault="00E917C5" w:rsidP="00E917C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number of data-loading workers.</w:t>
      </w:r>
    </w:p>
    <w:p w14:paraId="3DE86BE6"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The architecture comparison used </w:t>
      </w:r>
      <w:r w:rsidRPr="00B20C11">
        <w:rPr>
          <w:rFonts w:ascii="Courier New" w:eastAsia="Times New Roman" w:hAnsi="Courier New" w:cs="Courier New"/>
          <w:sz w:val="20"/>
          <w:szCs w:val="20"/>
        </w:rPr>
        <w:t>resnet18</w:t>
      </w:r>
      <w:r w:rsidRPr="00B20C11">
        <w:rPr>
          <w:rFonts w:ascii="Times New Roman" w:eastAsia="Times New Roman" w:hAnsi="Times New Roman" w:cs="Times New Roman"/>
          <w:sz w:val="24"/>
          <w:szCs w:val="24"/>
        </w:rPr>
        <w:t xml:space="preserve">, </w:t>
      </w:r>
      <w:r w:rsidRPr="00B20C11">
        <w:rPr>
          <w:rFonts w:ascii="Courier New" w:eastAsia="Times New Roman" w:hAnsi="Courier New" w:cs="Courier New"/>
          <w:sz w:val="20"/>
          <w:szCs w:val="20"/>
        </w:rPr>
        <w:t>resnet50</w:t>
      </w:r>
      <w:r w:rsidRPr="00B20C11">
        <w:rPr>
          <w:rFonts w:ascii="Times New Roman" w:eastAsia="Times New Roman" w:hAnsi="Times New Roman" w:cs="Times New Roman"/>
          <w:sz w:val="24"/>
          <w:szCs w:val="24"/>
        </w:rPr>
        <w:t xml:space="preserve"> and </w:t>
      </w:r>
      <w:r w:rsidRPr="00B20C11">
        <w:rPr>
          <w:rFonts w:ascii="Courier New" w:eastAsia="Times New Roman" w:hAnsi="Courier New" w:cs="Courier New"/>
          <w:sz w:val="20"/>
          <w:szCs w:val="20"/>
        </w:rPr>
        <w:t>wide_resnet50_2</w:t>
      </w:r>
      <w:r w:rsidRPr="00B20C11">
        <w:rPr>
          <w:rFonts w:ascii="Times New Roman" w:eastAsia="Times New Roman" w:hAnsi="Times New Roman" w:cs="Times New Roman"/>
          <w:sz w:val="24"/>
          <w:szCs w:val="24"/>
        </w:rPr>
        <w:t>. Unless deliberately changed, the coreset sampling ratio remained at 0.1 and the number of nearest neighbours remained at nine. The same settings were applied across the three MVTec AD categories so that the effect of backbone selection could be examined separately.</w:t>
      </w:r>
    </w:p>
    <w:p w14:paraId="18801E57" w14:textId="77777777" w:rsidR="00E917C5" w:rsidRPr="00B20C11" w:rsidRDefault="00E917C5" w:rsidP="00E917C5">
      <w:pPr>
        <w:spacing w:before="100" w:beforeAutospacing="1" w:after="100" w:afterAutospacing="1" w:line="240" w:lineRule="auto"/>
        <w:outlineLvl w:val="2"/>
        <w:rPr>
          <w:rFonts w:ascii="Times New Roman" w:eastAsia="Times New Roman" w:hAnsi="Times New Roman" w:cs="Times New Roman"/>
          <w:b/>
          <w:bCs/>
          <w:sz w:val="27"/>
          <w:szCs w:val="27"/>
        </w:rPr>
      </w:pPr>
      <w:r w:rsidRPr="00B20C11">
        <w:rPr>
          <w:rFonts w:ascii="Times New Roman" w:eastAsia="Times New Roman" w:hAnsi="Times New Roman" w:cs="Times New Roman"/>
          <w:b/>
          <w:bCs/>
          <w:sz w:val="27"/>
          <w:szCs w:val="27"/>
        </w:rPr>
        <w:t>3.7.4 Architecture comparison and final detector selection</w:t>
      </w:r>
    </w:p>
    <w:p w14:paraId="0618A389"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architecture comparison was introduced after the initial PatchCore and PaDiM experiments to determine whether the selected feature extractor materially affected detection performance.</w:t>
      </w:r>
    </w:p>
    <w:p w14:paraId="7A466D86"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PatchCore was evaluated using:</w:t>
      </w:r>
    </w:p>
    <w:p w14:paraId="7AE494B4" w14:textId="77777777" w:rsidR="00E917C5" w:rsidRPr="00B20C11" w:rsidRDefault="00E917C5" w:rsidP="00E917C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0C11">
        <w:rPr>
          <w:rFonts w:ascii="Courier New" w:eastAsia="Times New Roman" w:hAnsi="Courier New" w:cs="Courier New"/>
          <w:sz w:val="20"/>
          <w:szCs w:val="20"/>
        </w:rPr>
        <w:lastRenderedPageBreak/>
        <w:t>resnet18</w:t>
      </w:r>
      <w:r w:rsidRPr="00B20C11">
        <w:rPr>
          <w:rFonts w:ascii="Times New Roman" w:eastAsia="Times New Roman" w:hAnsi="Times New Roman" w:cs="Times New Roman"/>
          <w:sz w:val="24"/>
          <w:szCs w:val="24"/>
        </w:rPr>
        <w:t>;</w:t>
      </w:r>
    </w:p>
    <w:p w14:paraId="2E29B44E" w14:textId="77777777" w:rsidR="00E917C5" w:rsidRPr="00B20C11" w:rsidRDefault="00E917C5" w:rsidP="00E917C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0C11">
        <w:rPr>
          <w:rFonts w:ascii="Courier New" w:eastAsia="Times New Roman" w:hAnsi="Courier New" w:cs="Courier New"/>
          <w:sz w:val="20"/>
          <w:szCs w:val="20"/>
        </w:rPr>
        <w:t>resnet50</w:t>
      </w:r>
      <w:r w:rsidRPr="00B20C11">
        <w:rPr>
          <w:rFonts w:ascii="Times New Roman" w:eastAsia="Times New Roman" w:hAnsi="Times New Roman" w:cs="Times New Roman"/>
          <w:sz w:val="24"/>
          <w:szCs w:val="24"/>
        </w:rPr>
        <w:t>;</w:t>
      </w:r>
    </w:p>
    <w:p w14:paraId="10F6D201" w14:textId="77777777" w:rsidR="00E917C5" w:rsidRPr="00B20C11" w:rsidRDefault="00E917C5" w:rsidP="00E917C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0C11">
        <w:rPr>
          <w:rFonts w:ascii="Courier New" w:eastAsia="Times New Roman" w:hAnsi="Courier New" w:cs="Courier New"/>
          <w:sz w:val="20"/>
          <w:szCs w:val="20"/>
        </w:rPr>
        <w:t>wide_resnet50_2</w:t>
      </w:r>
      <w:r w:rsidRPr="00B20C11">
        <w:rPr>
          <w:rFonts w:ascii="Times New Roman" w:eastAsia="Times New Roman" w:hAnsi="Times New Roman" w:cs="Times New Roman"/>
          <w:sz w:val="24"/>
          <w:szCs w:val="24"/>
        </w:rPr>
        <w:t>.</w:t>
      </w:r>
    </w:p>
    <w:p w14:paraId="67E336A5"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PaDiM was evaluated using:</w:t>
      </w:r>
    </w:p>
    <w:p w14:paraId="12B44052" w14:textId="77777777" w:rsidR="00E917C5" w:rsidRPr="00B20C11" w:rsidRDefault="00E917C5" w:rsidP="00E917C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0C11">
        <w:rPr>
          <w:rFonts w:ascii="Courier New" w:eastAsia="Times New Roman" w:hAnsi="Courier New" w:cs="Courier New"/>
          <w:sz w:val="20"/>
          <w:szCs w:val="20"/>
        </w:rPr>
        <w:t>resnet18</w:t>
      </w:r>
      <w:r w:rsidRPr="00B20C11">
        <w:rPr>
          <w:rFonts w:ascii="Times New Roman" w:eastAsia="Times New Roman" w:hAnsi="Times New Roman" w:cs="Times New Roman"/>
          <w:sz w:val="24"/>
          <w:szCs w:val="24"/>
        </w:rPr>
        <w:t xml:space="preserve"> with its default retained feature setting;</w:t>
      </w:r>
    </w:p>
    <w:p w14:paraId="28143E3E" w14:textId="77777777" w:rsidR="00E917C5" w:rsidRPr="00B20C11" w:rsidRDefault="00E917C5" w:rsidP="00E917C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0C11">
        <w:rPr>
          <w:rFonts w:ascii="Courier New" w:eastAsia="Times New Roman" w:hAnsi="Courier New" w:cs="Courier New"/>
          <w:sz w:val="20"/>
          <w:szCs w:val="20"/>
        </w:rPr>
        <w:t>resnet50</w:t>
      </w:r>
      <w:r w:rsidRPr="00B20C11">
        <w:rPr>
          <w:rFonts w:ascii="Times New Roman" w:eastAsia="Times New Roman" w:hAnsi="Times New Roman" w:cs="Times New Roman"/>
          <w:sz w:val="24"/>
          <w:szCs w:val="24"/>
        </w:rPr>
        <w:t xml:space="preserve"> with </w:t>
      </w:r>
      <w:r w:rsidRPr="00B20C11">
        <w:rPr>
          <w:rFonts w:ascii="Courier New" w:eastAsia="Times New Roman" w:hAnsi="Courier New" w:cs="Courier New"/>
          <w:sz w:val="20"/>
          <w:szCs w:val="20"/>
        </w:rPr>
        <w:t>n_features=100</w:t>
      </w:r>
      <w:r w:rsidRPr="00B20C11">
        <w:rPr>
          <w:rFonts w:ascii="Times New Roman" w:eastAsia="Times New Roman" w:hAnsi="Times New Roman" w:cs="Times New Roman"/>
          <w:sz w:val="24"/>
          <w:szCs w:val="24"/>
        </w:rPr>
        <w:t>.</w:t>
      </w:r>
    </w:p>
    <w:p w14:paraId="2BA489B2"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primary comparison metrics were image-level AUROC and image-level F1-score. All configurations were applied to bottle, capsule and hazelnut using the same dataset organisation.</w:t>
      </w:r>
    </w:p>
    <w:p w14:paraId="62433BD7"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PatchCore produced the strongest overall image-level performance. PatchCore with ResNet50 matched the best PatchCore result on bottle, produced the strongest capsule result, and matched the best result on hazelnut. WideResNet50-2 also performed strongly but did not improve upon ResNet50 across the complete set of categories. PaDiM remained competitive on bottle but produced lower image-level AUROC values on capsule and particularly on hazelnut.</w:t>
      </w:r>
    </w:p>
    <w:p w14:paraId="485BA090"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PatchCore with ResNet50 was therefore selected as the preferred image-level anomaly detection architecture for the final dissertation pipeline. This selection was based on the comparative experiments rather than on an assumed preference for a particular network depth. PaDiM remained part of the evaluation as a comparative anomaly detector and a localisation reference.</w:t>
      </w:r>
    </w:p>
    <w:p w14:paraId="7E2B9F02"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numerical results supporting this decision are presented in the results and discussion chapter rather than repeated in full here.</w:t>
      </w:r>
    </w:p>
    <w:p w14:paraId="6A8002BD" w14:textId="77777777" w:rsidR="00E917C5" w:rsidRPr="00B20C11" w:rsidRDefault="00E917C5" w:rsidP="00E917C5">
      <w:pPr>
        <w:spacing w:before="100" w:beforeAutospacing="1" w:after="100" w:afterAutospacing="1" w:line="240" w:lineRule="auto"/>
        <w:outlineLvl w:val="1"/>
        <w:rPr>
          <w:rFonts w:ascii="Times New Roman" w:eastAsia="Times New Roman" w:hAnsi="Times New Roman" w:cs="Times New Roman"/>
          <w:b/>
          <w:bCs/>
          <w:sz w:val="36"/>
          <w:szCs w:val="36"/>
        </w:rPr>
      </w:pPr>
      <w:r w:rsidRPr="00B20C11">
        <w:rPr>
          <w:rFonts w:ascii="Times New Roman" w:eastAsia="Times New Roman" w:hAnsi="Times New Roman" w:cs="Times New Roman"/>
          <w:b/>
          <w:bCs/>
          <w:sz w:val="36"/>
          <w:szCs w:val="36"/>
        </w:rPr>
        <w:t>3.8 Anomaly localisation and post-processing</w:t>
      </w:r>
    </w:p>
    <w:p w14:paraId="4BF605F8"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Both PatchCore and PaDiM produced continuous anomaly maps. These maps indicated the relative abnormality of different image regions but were not directly equivalent to binary defect masks.</w:t>
      </w:r>
    </w:p>
    <w:p w14:paraId="384FD7DB"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localisation stage first normalised the anomaly map to a common range. A configurable threshold was then applied:</w:t>
      </w:r>
    </w:p>
    <w:p w14:paraId="6A18C173" w14:textId="77777777" w:rsidR="00E917C5" w:rsidRPr="005A697E" w:rsidRDefault="00E917C5" w:rsidP="00E917C5">
      <w:pPr>
        <w:rPr>
          <w:rFonts w:eastAsiaTheme="minorEastAsia"/>
        </w:rPr>
      </w:pPr>
      <m:oMathPara>
        <m:oMath>
          <m:r>
            <w:rPr>
              <w:rFonts w:ascii="Cambria Math" w:eastAsiaTheme="minorEastAsia" w:hAnsi="Cambria Math"/>
            </w:rPr>
            <m:t>M(x,y)</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  A</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≥τ</m:t>
                  </m:r>
                </m:e>
                <m:e>
                  <m:r>
                    <w:rPr>
                      <w:rFonts w:ascii="Cambria Math" w:eastAsiaTheme="minorEastAsia" w:hAnsi="Cambria Math"/>
                    </w:rPr>
                    <m:t>0,  A</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&lt; τ</m:t>
                  </m:r>
                </m:e>
              </m:eqArr>
            </m:e>
          </m:d>
          <m:r>
            <w:rPr>
              <w:rFonts w:ascii="Cambria Math" w:eastAsiaTheme="minorEastAsia" w:hAnsi="Cambria Math"/>
            </w:rPr>
            <m:t xml:space="preserve"> </m:t>
          </m:r>
        </m:oMath>
      </m:oMathPara>
    </w:p>
    <w:p w14:paraId="52C25143"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where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x,y</m:t>
            </m:r>
          </m:e>
        </m:d>
      </m:oMath>
      <w:r w:rsidRPr="00B20C11">
        <w:rPr>
          <w:rFonts w:ascii="Times New Roman" w:eastAsia="Times New Roman" w:hAnsi="Times New Roman" w:cs="Times New Roman"/>
          <w:sz w:val="24"/>
          <w:szCs w:val="24"/>
        </w:rPr>
        <w:t xml:space="preserve"> is the anomaly-map value, </w:t>
      </w:r>
      <m:oMath>
        <m:r>
          <w:rPr>
            <w:rFonts w:ascii="Cambria Math" w:eastAsiaTheme="minorEastAsia" w:hAnsi="Cambria Math"/>
          </w:rPr>
          <m:t>τ</m:t>
        </m:r>
      </m:oMath>
      <w:r w:rsidRPr="00B20C11">
        <w:rPr>
          <w:rFonts w:ascii="Times New Roman" w:eastAsia="Times New Roman" w:hAnsi="Times New Roman" w:cs="Times New Roman"/>
          <w:sz w:val="24"/>
          <w:szCs w:val="24"/>
        </w:rPr>
        <w:t xml:space="preserve"> is the localisation threshold and </w:t>
      </w:r>
      <m:oMath>
        <m:r>
          <w:rPr>
            <w:rFonts w:ascii="Cambria Math" w:eastAsiaTheme="minorEastAsia" w:hAnsi="Cambria Math"/>
          </w:rPr>
          <m:t>M(x,y)</m:t>
        </m:r>
      </m:oMath>
      <w:r w:rsidRPr="00B20C11">
        <w:rPr>
          <w:rFonts w:ascii="Times New Roman" w:eastAsia="Times New Roman" w:hAnsi="Times New Roman" w:cs="Times New Roman"/>
          <w:sz w:val="24"/>
          <w:szCs w:val="24"/>
        </w:rPr>
        <w:t xml:space="preserve"> is the resulting binary mask.</w:t>
      </w:r>
    </w:p>
    <w:p w14:paraId="03B4542E"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Morphological opening and closing were applied where required. Opening reduced isolated foreground responses, while closing filled small gaps inside detected areas. Connected-component analysis was then used to identify coherent anomalous regions. Small components below the configured area threshold were removed.</w:t>
      </w:r>
    </w:p>
    <w:p w14:paraId="380E1E36"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lastRenderedPageBreak/>
        <w:t>For each retained component, the pipeline extracted its bounding box, area, relative mask coverage and position. These values were used in the annotated output and supplied as evidence to the semantic and confidence stages.</w:t>
      </w:r>
    </w:p>
    <w:p w14:paraId="10A9CB9F"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Threshold-sweep experiments were conducted because a detector could produce an informative continuous anomaly map while still performing poorly when converted using an unsuitable fixed threshold. Candidate thresholds were applied to the anomaly maps, and the resulting masks were compared against the ground truth using IoU and Dice. This separated the quality of the learned anomaly representation from the effect of the binary post-processing threshold.</w:t>
      </w:r>
    </w:p>
    <w:p w14:paraId="5CF5499C" w14:textId="77777777" w:rsidR="00E917C5" w:rsidRPr="00B20C11" w:rsidRDefault="00E917C5" w:rsidP="00E917C5">
      <w:pPr>
        <w:spacing w:before="100" w:beforeAutospacing="1" w:after="100" w:afterAutospacing="1" w:line="240" w:lineRule="auto"/>
        <w:outlineLvl w:val="1"/>
        <w:rPr>
          <w:rFonts w:ascii="Times New Roman" w:eastAsia="Times New Roman" w:hAnsi="Times New Roman" w:cs="Times New Roman"/>
          <w:b/>
          <w:bCs/>
          <w:sz w:val="36"/>
          <w:szCs w:val="36"/>
        </w:rPr>
      </w:pPr>
      <w:r w:rsidRPr="00B20C11">
        <w:rPr>
          <w:rFonts w:ascii="Times New Roman" w:eastAsia="Times New Roman" w:hAnsi="Times New Roman" w:cs="Times New Roman"/>
          <w:b/>
          <w:bCs/>
          <w:sz w:val="36"/>
          <w:szCs w:val="36"/>
        </w:rPr>
        <w:t>3.9 Constrained semantic interpretation</w:t>
      </w:r>
    </w:p>
    <w:p w14:paraId="4915BE03"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semantic stage converted localised visual evidence into a limited set of defect descriptions. The final implementation did not use unrestricted image captioning or allow arbitrary text labels. Instead, labels were constrained to a predefined manufacturing taxonomy, including classes such as scratch, crack, dent, contamination, deformation, surface defect and unknown.</w:t>
      </w:r>
    </w:p>
    <w:p w14:paraId="622758D9"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decision used evidence derived from the localised component and its surrounding image region. Examples included component area, aspect ratio, position, mean intensity, colour or saturation contrast, edge density and heatmap response. These values were stored as semantic evidence alongside the selected label.</w:t>
      </w:r>
    </w:p>
    <w:p w14:paraId="1A885BEB"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When the available evidence was insufficient or inconsistent, the system returned </w:t>
      </w:r>
      <w:r w:rsidRPr="00B20C11">
        <w:rPr>
          <w:rFonts w:ascii="Courier New" w:eastAsia="Times New Roman" w:hAnsi="Courier New" w:cs="Courier New"/>
          <w:sz w:val="20"/>
          <w:szCs w:val="20"/>
        </w:rPr>
        <w:t>unknown</w:t>
      </w:r>
      <w:r w:rsidRPr="00B20C11">
        <w:rPr>
          <w:rFonts w:ascii="Times New Roman" w:eastAsia="Times New Roman" w:hAnsi="Times New Roman" w:cs="Times New Roman"/>
          <w:sz w:val="24"/>
          <w:szCs w:val="24"/>
        </w:rPr>
        <w:t>. This was treated as a valid uncertainty state rather than forcing a potentially unsupported defect label. Unknown or weakly supported labels were routed towards human review by the governance logic.</w:t>
      </w:r>
    </w:p>
    <w:p w14:paraId="7C3B0D1A"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A category-specific fallback was introduced for capsule images to reduce unnecessary unknown classifications where the visual evidence supported a broader defect family. The fallback remained constrained by the taxonomy and did not modify the anomaly detector. Its effect was evaluated through changes in the downstream human-review rate.</w:t>
      </w:r>
    </w:p>
    <w:p w14:paraId="00728A45" w14:textId="77777777" w:rsidR="00E917C5" w:rsidRPr="00B20C11" w:rsidRDefault="00E917C5" w:rsidP="00E917C5">
      <w:pPr>
        <w:spacing w:before="100" w:beforeAutospacing="1" w:after="100" w:afterAutospacing="1" w:line="240" w:lineRule="auto"/>
        <w:outlineLvl w:val="1"/>
        <w:rPr>
          <w:rFonts w:ascii="Times New Roman" w:eastAsia="Times New Roman" w:hAnsi="Times New Roman" w:cs="Times New Roman"/>
          <w:b/>
          <w:bCs/>
          <w:sz w:val="36"/>
          <w:szCs w:val="36"/>
        </w:rPr>
      </w:pPr>
      <w:r w:rsidRPr="00B20C11">
        <w:rPr>
          <w:rFonts w:ascii="Times New Roman" w:eastAsia="Times New Roman" w:hAnsi="Times New Roman" w:cs="Times New Roman"/>
          <w:b/>
          <w:bCs/>
          <w:sz w:val="36"/>
          <w:szCs w:val="36"/>
        </w:rPr>
        <w:t>3.10 Risk determination</w:t>
      </w:r>
    </w:p>
    <w:p w14:paraId="452F3B3A"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Risk classification was implemented using deterministic rules rather than a generative model. The purpose was to ensure that identical inputs produced identical risk outcomes and that each decision could be traced to an explicit policy.</w:t>
      </w:r>
    </w:p>
    <w:p w14:paraId="400008D2"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risk logic considered the semantic label, anomaly evidence, localisation evidence and configured risk policy. Risk classes included:</w:t>
      </w:r>
    </w:p>
    <w:p w14:paraId="5C5F430B" w14:textId="77777777" w:rsidR="00E917C5" w:rsidRPr="00B20C11" w:rsidRDefault="00E917C5" w:rsidP="00E917C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Low;</w:t>
      </w:r>
    </w:p>
    <w:p w14:paraId="4D9BE645" w14:textId="77777777" w:rsidR="00E917C5" w:rsidRPr="00B20C11" w:rsidRDefault="00E917C5" w:rsidP="00E917C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Medium;</w:t>
      </w:r>
    </w:p>
    <w:p w14:paraId="70DDC6C5" w14:textId="77777777" w:rsidR="00E917C5" w:rsidRPr="00B20C11" w:rsidRDefault="00E917C5" w:rsidP="00E917C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High;</w:t>
      </w:r>
    </w:p>
    <w:p w14:paraId="071F6E61" w14:textId="77777777" w:rsidR="00E917C5" w:rsidRPr="00B20C11" w:rsidRDefault="00E917C5" w:rsidP="00E917C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Critical;</w:t>
      </w:r>
    </w:p>
    <w:p w14:paraId="5BDA27A0" w14:textId="77777777" w:rsidR="00E917C5" w:rsidRPr="00B20C11" w:rsidRDefault="00E917C5" w:rsidP="00E917C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lastRenderedPageBreak/>
        <w:t>Review Required.</w:t>
      </w:r>
    </w:p>
    <w:p w14:paraId="5B2EFB4B"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structure was informed by the principles of Failure Modes and Effects Analysis, in which potential failures are assessed systematically so that appropriate treatment or prioritisation can be determined (IEC, 2018). The prototype did not claim to replace a manufacturer-specific FMEA conducted by qualified domain experts. Instead, it demonstrated how a configured risk matrix could be applied consistently after anomaly detection.</w:t>
      </w:r>
    </w:p>
    <w:p w14:paraId="346B41BE"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Missing, uncertain or unsupported mappings were not estimated. They were assigned </w:t>
      </w:r>
      <w:r w:rsidRPr="00B20C11">
        <w:rPr>
          <w:rFonts w:ascii="Courier New" w:eastAsia="Times New Roman" w:hAnsi="Courier New" w:cs="Courier New"/>
          <w:sz w:val="20"/>
          <w:szCs w:val="20"/>
        </w:rPr>
        <w:t>Review Required</w:t>
      </w:r>
      <w:r w:rsidRPr="00B20C11">
        <w:rPr>
          <w:rFonts w:ascii="Times New Roman" w:eastAsia="Times New Roman" w:hAnsi="Times New Roman" w:cs="Times New Roman"/>
          <w:sz w:val="24"/>
          <w:szCs w:val="24"/>
        </w:rPr>
        <w:t>. This fail-safe behaviour prevented the system from inventing risk values where its configured knowledge was incomplete.</w:t>
      </w:r>
    </w:p>
    <w:p w14:paraId="11C5D32B" w14:textId="77777777" w:rsidR="00E917C5" w:rsidRPr="00B20C11" w:rsidRDefault="00E917C5" w:rsidP="00E917C5">
      <w:pPr>
        <w:spacing w:before="100" w:beforeAutospacing="1" w:after="100" w:afterAutospacing="1" w:line="240" w:lineRule="auto"/>
        <w:outlineLvl w:val="1"/>
        <w:rPr>
          <w:rFonts w:ascii="Times New Roman" w:eastAsia="Times New Roman" w:hAnsi="Times New Roman" w:cs="Times New Roman"/>
          <w:b/>
          <w:bCs/>
          <w:sz w:val="36"/>
          <w:szCs w:val="36"/>
        </w:rPr>
      </w:pPr>
      <w:r w:rsidRPr="00B20C11">
        <w:rPr>
          <w:rFonts w:ascii="Times New Roman" w:eastAsia="Times New Roman" w:hAnsi="Times New Roman" w:cs="Times New Roman"/>
          <w:b/>
          <w:bCs/>
          <w:sz w:val="36"/>
          <w:szCs w:val="36"/>
        </w:rPr>
        <w:t>3.11 Confidence fusion and human-review gating</w:t>
      </w:r>
    </w:p>
    <w:p w14:paraId="6D42D47D"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Three forms of evidence were represented in the confidence stage:</w:t>
      </w:r>
    </w:p>
    <w:p w14:paraId="37DE9E45" w14:textId="77777777" w:rsidR="00E917C5" w:rsidRPr="00B20C11" w:rsidRDefault="00E917C5" w:rsidP="00E917C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anomaly detection confidence;</w:t>
      </w:r>
    </w:p>
    <w:p w14:paraId="726A9567" w14:textId="77777777" w:rsidR="00E917C5" w:rsidRPr="00B20C11" w:rsidRDefault="00E917C5" w:rsidP="00E917C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localisation confidence;</w:t>
      </w:r>
    </w:p>
    <w:p w14:paraId="7DF29689" w14:textId="77777777" w:rsidR="00E917C5" w:rsidRPr="00B20C11" w:rsidRDefault="00E917C5" w:rsidP="00E917C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semantic confidence.</w:t>
      </w:r>
    </w:p>
    <w:p w14:paraId="5E860B5D"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anomaly confidence reflected the strength of the detector response relative to its decision boundary. Localisation confidence reflected the strength and coherence of the selected anomalous region. Semantic confidence represented the degree of support for the constrained defect label.</w:t>
      </w:r>
    </w:p>
    <w:p w14:paraId="576EE9E4"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Two fusion strategies were implemented. The conservative strategy used the minimum component confidence:</w:t>
      </w:r>
    </w:p>
    <w:p w14:paraId="550FBA60" w14:textId="77777777" w:rsidR="00E917C5" w:rsidRPr="000C15F2" w:rsidRDefault="00E917C5" w:rsidP="00E917C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min</m:t>
              </m:r>
            </m:sub>
          </m:sSub>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C</m:t>
                      </m:r>
                      <m:ctrlPr>
                        <w:rPr>
                          <w:rFonts w:ascii="Cambria Math" w:eastAsiaTheme="minorEastAsia" w:hAnsi="Cambria Math"/>
                        </w:rPr>
                      </m:ctrlP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m:t>
                      </m:r>
                    </m:sub>
                  </m:sSub>
                  <m:ctrlPr>
                    <w:rPr>
                      <w:rFonts w:ascii="Cambria Math" w:eastAsiaTheme="minorEastAsia" w:hAnsi="Cambria Math"/>
                      <w:i/>
                    </w:rPr>
                  </m:ctrlPr>
                </m:e>
              </m:d>
            </m:e>
          </m:func>
        </m:oMath>
      </m:oMathPara>
    </w:p>
    <w:p w14:paraId="576DD9F4"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where </w:t>
      </w:r>
      <m:oMath>
        <m:sSub>
          <m:sSubPr>
            <m:ctrlPr>
              <w:rPr>
                <w:rFonts w:ascii="Cambria Math" w:eastAsiaTheme="minorEastAsia" w:hAnsi="Cambria Math"/>
                <w:i/>
              </w:rPr>
            </m:ctrlPr>
          </m:sSubPr>
          <m:e>
            <m:r>
              <w:rPr>
                <w:rFonts w:ascii="Cambria Math" w:eastAsiaTheme="minorEastAsia" w:hAnsi="Cambria Math"/>
              </w:rPr>
              <m:t>C</m:t>
            </m:r>
            <m:ctrlPr>
              <w:rPr>
                <w:rFonts w:ascii="Cambria Math" w:eastAsiaTheme="minorEastAsia" w:hAnsi="Cambria Math"/>
              </w:rPr>
            </m:ctrlPr>
          </m:e>
          <m:sub>
            <m:r>
              <w:rPr>
                <w:rFonts w:ascii="Cambria Math" w:eastAsiaTheme="minorEastAsia" w:hAnsi="Cambria Math"/>
              </w:rPr>
              <m:t>a</m:t>
            </m:r>
          </m:sub>
        </m:sSub>
      </m:oMath>
      <w:r w:rsidRPr="00B20C11">
        <w:rPr>
          <w:rFonts w:ascii="Times New Roman" w:eastAsia="Times New Roman" w:hAnsi="Times New Roman" w:cs="Times New Roman"/>
          <w:sz w:val="24"/>
          <w:szCs w:val="24"/>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oMath>
      <w:r>
        <w:rPr>
          <w:rFonts w:ascii="Times New Roman" w:eastAsia="Times New Roman" w:hAnsi="Times New Roman" w:cs="Times New Roman"/>
        </w:rPr>
        <w:t xml:space="preserve"> </w:t>
      </w:r>
      <w:r w:rsidRPr="00B20C11">
        <w:rPr>
          <w:rFonts w:ascii="Times New Roman" w:eastAsia="Times New Roman" w:hAnsi="Times New Roman" w:cs="Times New Roman"/>
          <w:sz w:val="24"/>
          <w:szCs w:val="24"/>
        </w:rPr>
        <w:t xml:space="preserve">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m:t>
            </m:r>
          </m:sub>
        </m:sSub>
      </m:oMath>
      <w:r w:rsidRPr="00B20C11">
        <w:rPr>
          <w:rFonts w:ascii="Times New Roman" w:eastAsia="Times New Roman" w:hAnsi="Times New Roman" w:cs="Times New Roman"/>
          <w:sz w:val="24"/>
          <w:szCs w:val="24"/>
        </w:rPr>
        <w:t xml:space="preserve"> are the anomaly, localisation and semantic confidence values.</w:t>
      </w:r>
    </w:p>
    <w:p w14:paraId="2C4F40C1"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second strategy used a weighted average:</w:t>
      </w:r>
    </w:p>
    <w:p w14:paraId="77740127" w14:textId="77777777" w:rsidR="00E917C5" w:rsidRPr="00E930F9" w:rsidRDefault="00E917C5" w:rsidP="00E917C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w</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l</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ctrlPr>
                <w:rPr>
                  <w:rFonts w:ascii="Cambria Math" w:eastAsiaTheme="minorEastAsia" w:hAnsi="Cambria Math"/>
                  <w:i/>
                </w:rPr>
              </m:ctrlPr>
            </m:den>
          </m:f>
        </m:oMath>
      </m:oMathPara>
    </w:p>
    <w:p w14:paraId="385D3B97" w14:textId="77777777" w:rsidR="00E917C5" w:rsidRDefault="00E917C5" w:rsidP="00E917C5">
      <w:pPr>
        <w:pStyle w:val="NormalWeb"/>
      </w:pPr>
      <w:r>
        <w:t xml:space="preserve">where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m:t>
            </m:r>
          </m:sub>
        </m:sSub>
      </m:oMath>
      <w:r>
        <w:t xml:space="preserv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l</m:t>
            </m:r>
          </m:sub>
        </m:sSub>
      </m:oMath>
      <w:r>
        <w:rPr>
          <w:rStyle w:val="vlist-s"/>
        </w:rPr>
        <w:t>​</w:t>
      </w:r>
      <w:r>
        <w:t xml:space="preserve">, and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oMath>
      <w:r>
        <w:t xml:space="preserve"> are the weights assigned to the anomaly, localisation, and semantic confidence components.</w:t>
      </w:r>
    </w:p>
    <w:p w14:paraId="6BC3E499"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minimum rule prevented a strong score in one stage from hiding substantial uncertainty elsewhere. The weighted rule provided a less conservative alternative where component reliability justified different contributions.</w:t>
      </w:r>
    </w:p>
    <w:p w14:paraId="5525AC21"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lastRenderedPageBreak/>
        <w:t>A case was routed to review when one or more configured conditions were met. These included fused confidence below the operational threshold, an unknown semantic label, high or critical risk, an incomplete risk mapping or other ambiguous evidence.</w:t>
      </w:r>
    </w:p>
    <w:p w14:paraId="21495338"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system retained the reasons for escalation. This was important because an operator needed to understand why a record had entered the review queue rather than seeing only a binary review flag.</w:t>
      </w:r>
    </w:p>
    <w:p w14:paraId="150A4E08" w14:textId="77777777" w:rsidR="00E917C5" w:rsidRPr="00B20C11" w:rsidRDefault="00E917C5" w:rsidP="00E917C5">
      <w:pPr>
        <w:spacing w:before="100" w:beforeAutospacing="1" w:after="100" w:afterAutospacing="1" w:line="240" w:lineRule="auto"/>
        <w:outlineLvl w:val="1"/>
        <w:rPr>
          <w:rFonts w:ascii="Times New Roman" w:eastAsia="Times New Roman" w:hAnsi="Times New Roman" w:cs="Times New Roman"/>
          <w:b/>
          <w:bCs/>
          <w:sz w:val="36"/>
          <w:szCs w:val="36"/>
        </w:rPr>
      </w:pPr>
      <w:r w:rsidRPr="00B20C11">
        <w:rPr>
          <w:rFonts w:ascii="Times New Roman" w:eastAsia="Times New Roman" w:hAnsi="Times New Roman" w:cs="Times New Roman"/>
          <w:b/>
          <w:bCs/>
          <w:sz w:val="36"/>
          <w:szCs w:val="36"/>
        </w:rPr>
        <w:t>3.12 Risk-governed quality disposition</w:t>
      </w:r>
    </w:p>
    <w:p w14:paraId="476055B5"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A quality-disposition layer translated the available inspection evidence into an operational recommendation. Possible actions included:</w:t>
      </w:r>
    </w:p>
    <w:p w14:paraId="55C4E18F" w14:textId="77777777" w:rsidR="00E917C5" w:rsidRPr="00B20C11" w:rsidRDefault="00E917C5" w:rsidP="00E917C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pass;</w:t>
      </w:r>
    </w:p>
    <w:p w14:paraId="7D0E1EDC" w14:textId="77777777" w:rsidR="00E917C5" w:rsidRPr="00B20C11" w:rsidRDefault="00E917C5" w:rsidP="00E917C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pass with monitoring;</w:t>
      </w:r>
    </w:p>
    <w:p w14:paraId="21C2DE0D" w14:textId="77777777" w:rsidR="00E917C5" w:rsidRPr="00B20C11" w:rsidRDefault="00E917C5" w:rsidP="00E917C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reinspect;</w:t>
      </w:r>
    </w:p>
    <w:p w14:paraId="4BCD6393" w14:textId="77777777" w:rsidR="00E917C5" w:rsidRPr="00B20C11" w:rsidRDefault="00E917C5" w:rsidP="00E917C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hold;</w:t>
      </w:r>
    </w:p>
    <w:p w14:paraId="2171E9DA" w14:textId="77777777" w:rsidR="00E917C5" w:rsidRPr="00B20C11" w:rsidRDefault="00E917C5" w:rsidP="00E917C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quarantine;</w:t>
      </w:r>
    </w:p>
    <w:p w14:paraId="2A2515CE" w14:textId="77777777" w:rsidR="00E917C5" w:rsidRPr="00B20C11" w:rsidRDefault="00E917C5" w:rsidP="00E917C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review required;</w:t>
      </w:r>
    </w:p>
    <w:p w14:paraId="6BC24FDB" w14:textId="77777777" w:rsidR="00E917C5" w:rsidRPr="00B20C11" w:rsidRDefault="00E917C5" w:rsidP="00E917C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release after review;</w:t>
      </w:r>
    </w:p>
    <w:p w14:paraId="187E8477" w14:textId="77777777" w:rsidR="00E917C5" w:rsidRPr="00B20C11" w:rsidRDefault="00E917C5" w:rsidP="00E917C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reject after review;</w:t>
      </w:r>
    </w:p>
    <w:p w14:paraId="48AC7F1B" w14:textId="77777777" w:rsidR="00E917C5" w:rsidRPr="00B20C11" w:rsidRDefault="00E917C5" w:rsidP="00E917C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engineering review.</w:t>
      </w:r>
    </w:p>
    <w:p w14:paraId="1C94F94A"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The disposition combined the current inspection record with the most recent operator review. An uncertain item could initially receive </w:t>
      </w:r>
      <w:r w:rsidRPr="00B20C11">
        <w:rPr>
          <w:rFonts w:ascii="Courier New" w:eastAsia="Times New Roman" w:hAnsi="Courier New" w:cs="Courier New"/>
          <w:sz w:val="20"/>
          <w:szCs w:val="20"/>
        </w:rPr>
        <w:t>REVIEW_REQUIRED</w:t>
      </w:r>
      <w:r w:rsidRPr="00B20C11">
        <w:rPr>
          <w:rFonts w:ascii="Times New Roman" w:eastAsia="Times New Roman" w:hAnsi="Times New Roman" w:cs="Times New Roman"/>
          <w:sz w:val="24"/>
          <w:szCs w:val="24"/>
        </w:rPr>
        <w:t xml:space="preserve">. If an operator subsequently confirmed that the anomaly response was a false positive, the disposition changed to </w:t>
      </w:r>
      <w:r w:rsidRPr="00B20C11">
        <w:rPr>
          <w:rFonts w:ascii="Courier New" w:eastAsia="Times New Roman" w:hAnsi="Courier New" w:cs="Courier New"/>
          <w:sz w:val="20"/>
          <w:szCs w:val="20"/>
        </w:rPr>
        <w:t>RELEASE_AFTER_REVIEW</w:t>
      </w:r>
      <w:r w:rsidRPr="00B20C11">
        <w:rPr>
          <w:rFonts w:ascii="Times New Roman" w:eastAsia="Times New Roman" w:hAnsi="Times New Roman" w:cs="Times New Roman"/>
          <w:sz w:val="24"/>
          <w:szCs w:val="24"/>
        </w:rPr>
        <w:t>. Conversely, a confirmed defect could be retained or rejected according to the recorded decision and risk class.</w:t>
      </w:r>
    </w:p>
    <w:p w14:paraId="1A2C547E"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This human-in-the-loop design prevented the automated detector from making an irreversible production decision where uncertainty remained. It also provided a practical method for handling false-positive detections without discarding the original model evidence.</w:t>
      </w:r>
    </w:p>
    <w:p w14:paraId="31B219A0"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disposition output was a recommendation only. The prototype did not send control signals to physical manufacturing equipment.</w:t>
      </w:r>
    </w:p>
    <w:p w14:paraId="188DDD47" w14:textId="77777777" w:rsidR="00E917C5" w:rsidRPr="00B20C11" w:rsidRDefault="00E917C5" w:rsidP="00E917C5">
      <w:pPr>
        <w:spacing w:before="100" w:beforeAutospacing="1" w:after="100" w:afterAutospacing="1" w:line="240" w:lineRule="auto"/>
        <w:outlineLvl w:val="1"/>
        <w:rPr>
          <w:rFonts w:ascii="Times New Roman" w:eastAsia="Times New Roman" w:hAnsi="Times New Roman" w:cs="Times New Roman"/>
          <w:b/>
          <w:bCs/>
          <w:sz w:val="36"/>
          <w:szCs w:val="36"/>
        </w:rPr>
      </w:pPr>
      <w:r w:rsidRPr="00B20C11">
        <w:rPr>
          <w:rFonts w:ascii="Times New Roman" w:eastAsia="Times New Roman" w:hAnsi="Times New Roman" w:cs="Times New Roman"/>
          <w:b/>
          <w:bCs/>
          <w:sz w:val="36"/>
          <w:szCs w:val="36"/>
        </w:rPr>
        <w:t>3.13 PostgreSQL audit database</w:t>
      </w:r>
    </w:p>
    <w:p w14:paraId="156EB194"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PostgreSQL was used to store inspection records and operator reviews. The main inspection table contained structured fields such as image identifier, category, model name, semantic label, risk class, confidence values, review requirement and creation timestamp.</w:t>
      </w:r>
    </w:p>
    <w:p w14:paraId="529F4ADD"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Additional pipeline information was stored in a JSONB result payload. This allowed detailed evidence, configuration summaries and component-level outputs to be retained without placing every experimental value in a separate relational column.</w:t>
      </w:r>
    </w:p>
    <w:p w14:paraId="4407E0CB"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lastRenderedPageBreak/>
        <w:t>Operator reviews were stored in a related table using a foreign-key reference to the corresponding inspection record. A review contained the operator decision, note, reviewer identifier and timestamp. This schema allowed an inspection result to retain multiple review events while preserving the relationship to the original model output.</w:t>
      </w:r>
    </w:p>
    <w:p w14:paraId="7D47A3C9"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database was populated with 650 inspection records from the PatchCore and PaDiM experiments across bottle, capsule and hazelnut. Database summaries were used to compare record counts and review-required counts by category and model.</w:t>
      </w:r>
    </w:p>
    <w:p w14:paraId="40634045" w14:textId="77777777" w:rsidR="00E917C5" w:rsidRPr="00B20C11" w:rsidRDefault="00E917C5" w:rsidP="00E917C5">
      <w:pPr>
        <w:spacing w:before="100" w:beforeAutospacing="1" w:after="100" w:afterAutospacing="1" w:line="240" w:lineRule="auto"/>
        <w:outlineLvl w:val="1"/>
        <w:rPr>
          <w:rFonts w:ascii="Times New Roman" w:eastAsia="Times New Roman" w:hAnsi="Times New Roman" w:cs="Times New Roman"/>
          <w:b/>
          <w:bCs/>
          <w:sz w:val="36"/>
          <w:szCs w:val="36"/>
        </w:rPr>
      </w:pPr>
      <w:r w:rsidRPr="00B20C11">
        <w:rPr>
          <w:rFonts w:ascii="Times New Roman" w:eastAsia="Times New Roman" w:hAnsi="Times New Roman" w:cs="Times New Roman"/>
          <w:b/>
          <w:bCs/>
          <w:sz w:val="36"/>
          <w:szCs w:val="36"/>
        </w:rPr>
        <w:t>3.14 Operational application layer</w:t>
      </w:r>
    </w:p>
    <w:p w14:paraId="3AA5606C" w14:textId="77777777" w:rsidR="00E917C5" w:rsidRPr="00B20C11" w:rsidRDefault="00E917C5" w:rsidP="00E917C5">
      <w:pPr>
        <w:spacing w:before="100" w:beforeAutospacing="1" w:after="100" w:afterAutospacing="1" w:line="240" w:lineRule="auto"/>
        <w:outlineLvl w:val="2"/>
        <w:rPr>
          <w:rFonts w:ascii="Times New Roman" w:eastAsia="Times New Roman" w:hAnsi="Times New Roman" w:cs="Times New Roman"/>
          <w:b/>
          <w:bCs/>
          <w:sz w:val="27"/>
          <w:szCs w:val="27"/>
        </w:rPr>
      </w:pPr>
      <w:r w:rsidRPr="00B20C11">
        <w:rPr>
          <w:rFonts w:ascii="Times New Roman" w:eastAsia="Times New Roman" w:hAnsi="Times New Roman" w:cs="Times New Roman"/>
          <w:b/>
          <w:bCs/>
          <w:sz w:val="27"/>
          <w:szCs w:val="27"/>
        </w:rPr>
        <w:t>3.14.1 Docker Compose</w:t>
      </w:r>
    </w:p>
    <w:p w14:paraId="7570E267"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PostgreSQL 16 was deployed as a Docker Compose service. The container exposed the database to the host through port 55432 while retaining PostgreSQL’s internal port 5432. A health check was used to verify that the service was ready before database-dependent operations were performed.</w:t>
      </w:r>
    </w:p>
    <w:p w14:paraId="06AA7B17"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Containerisation isolated the database service from the Python virtual environments and provided a repeatable procedure for starting, stopping and checking the audit database.</w:t>
      </w:r>
    </w:p>
    <w:p w14:paraId="5540C399" w14:textId="77777777" w:rsidR="00E917C5" w:rsidRPr="00B20C11" w:rsidRDefault="00E917C5" w:rsidP="00E917C5">
      <w:pPr>
        <w:spacing w:before="100" w:beforeAutospacing="1" w:after="100" w:afterAutospacing="1" w:line="240" w:lineRule="auto"/>
        <w:outlineLvl w:val="2"/>
        <w:rPr>
          <w:rFonts w:ascii="Times New Roman" w:eastAsia="Times New Roman" w:hAnsi="Times New Roman" w:cs="Times New Roman"/>
          <w:b/>
          <w:bCs/>
          <w:sz w:val="27"/>
          <w:szCs w:val="27"/>
        </w:rPr>
      </w:pPr>
      <w:r w:rsidRPr="00B20C11">
        <w:rPr>
          <w:rFonts w:ascii="Times New Roman" w:eastAsia="Times New Roman" w:hAnsi="Times New Roman" w:cs="Times New Roman"/>
          <w:b/>
          <w:bCs/>
          <w:sz w:val="27"/>
          <w:szCs w:val="27"/>
        </w:rPr>
        <w:t>3.14.2 FastAPI backend</w:t>
      </w:r>
    </w:p>
    <w:p w14:paraId="309C9ECC"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FastAPI provided the backend interface for the operational prototype. The implemented endpoints included:</w:t>
      </w:r>
    </w:p>
    <w:p w14:paraId="0384C643" w14:textId="77777777" w:rsidR="00E917C5" w:rsidRPr="00B20C11" w:rsidRDefault="00E917C5" w:rsidP="00E917C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0C11">
        <w:rPr>
          <w:rFonts w:ascii="Courier New" w:eastAsia="Times New Roman" w:hAnsi="Courier New" w:cs="Courier New"/>
          <w:sz w:val="20"/>
          <w:szCs w:val="20"/>
        </w:rPr>
        <w:t>GET /health</w:t>
      </w:r>
      <w:r w:rsidRPr="00B20C11">
        <w:rPr>
          <w:rFonts w:ascii="Times New Roman" w:eastAsia="Times New Roman" w:hAnsi="Times New Roman" w:cs="Times New Roman"/>
          <w:sz w:val="24"/>
          <w:szCs w:val="24"/>
        </w:rPr>
        <w:t>;</w:t>
      </w:r>
    </w:p>
    <w:p w14:paraId="17B6BD20" w14:textId="77777777" w:rsidR="00E917C5" w:rsidRPr="00B20C11" w:rsidRDefault="00E917C5" w:rsidP="00E917C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0C11">
        <w:rPr>
          <w:rFonts w:ascii="Courier New" w:eastAsia="Times New Roman" w:hAnsi="Courier New" w:cs="Courier New"/>
          <w:sz w:val="20"/>
          <w:szCs w:val="20"/>
        </w:rPr>
        <w:t>GET /records</w:t>
      </w:r>
      <w:r w:rsidRPr="00B20C11">
        <w:rPr>
          <w:rFonts w:ascii="Times New Roman" w:eastAsia="Times New Roman" w:hAnsi="Times New Roman" w:cs="Times New Roman"/>
          <w:sz w:val="24"/>
          <w:szCs w:val="24"/>
        </w:rPr>
        <w:t>;</w:t>
      </w:r>
    </w:p>
    <w:p w14:paraId="588244B9" w14:textId="77777777" w:rsidR="00E917C5" w:rsidRPr="00B20C11" w:rsidRDefault="00E917C5" w:rsidP="00E917C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0C11">
        <w:rPr>
          <w:rFonts w:ascii="Courier New" w:eastAsia="Times New Roman" w:hAnsi="Courier New" w:cs="Courier New"/>
          <w:sz w:val="20"/>
          <w:szCs w:val="20"/>
        </w:rPr>
        <w:t>GET /records/{record_id}</w:t>
      </w:r>
      <w:r w:rsidRPr="00B20C11">
        <w:rPr>
          <w:rFonts w:ascii="Times New Roman" w:eastAsia="Times New Roman" w:hAnsi="Times New Roman" w:cs="Times New Roman"/>
          <w:sz w:val="24"/>
          <w:szCs w:val="24"/>
        </w:rPr>
        <w:t>;</w:t>
      </w:r>
    </w:p>
    <w:p w14:paraId="18934DB8" w14:textId="77777777" w:rsidR="00E917C5" w:rsidRPr="00B20C11" w:rsidRDefault="00E917C5" w:rsidP="00E917C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0C11">
        <w:rPr>
          <w:rFonts w:ascii="Courier New" w:eastAsia="Times New Roman" w:hAnsi="Courier New" w:cs="Courier New"/>
          <w:sz w:val="20"/>
          <w:szCs w:val="20"/>
        </w:rPr>
        <w:t>GET /records/{record_id}/qa-decision</w:t>
      </w:r>
      <w:r w:rsidRPr="00B20C11">
        <w:rPr>
          <w:rFonts w:ascii="Times New Roman" w:eastAsia="Times New Roman" w:hAnsi="Times New Roman" w:cs="Times New Roman"/>
          <w:sz w:val="24"/>
          <w:szCs w:val="24"/>
        </w:rPr>
        <w:t>;</w:t>
      </w:r>
    </w:p>
    <w:p w14:paraId="66193D85" w14:textId="77777777" w:rsidR="00E917C5" w:rsidRPr="00B20C11" w:rsidRDefault="00E917C5" w:rsidP="00E917C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0C11">
        <w:rPr>
          <w:rFonts w:ascii="Courier New" w:eastAsia="Times New Roman" w:hAnsi="Courier New" w:cs="Courier New"/>
          <w:sz w:val="20"/>
          <w:szCs w:val="20"/>
        </w:rPr>
        <w:t>POST /reviews</w:t>
      </w:r>
      <w:r w:rsidRPr="00B20C11">
        <w:rPr>
          <w:rFonts w:ascii="Times New Roman" w:eastAsia="Times New Roman" w:hAnsi="Times New Roman" w:cs="Times New Roman"/>
          <w:sz w:val="24"/>
          <w:szCs w:val="24"/>
        </w:rPr>
        <w:t>;</w:t>
      </w:r>
    </w:p>
    <w:p w14:paraId="715A0190" w14:textId="77777777" w:rsidR="00E917C5" w:rsidRPr="00B20C11" w:rsidRDefault="00E917C5" w:rsidP="00E917C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0C11">
        <w:rPr>
          <w:rFonts w:ascii="Courier New" w:eastAsia="Times New Roman" w:hAnsi="Courier New" w:cs="Courier New"/>
          <w:sz w:val="20"/>
          <w:szCs w:val="20"/>
        </w:rPr>
        <w:t>GET /summary</w:t>
      </w:r>
      <w:r w:rsidRPr="00B20C11">
        <w:rPr>
          <w:rFonts w:ascii="Times New Roman" w:eastAsia="Times New Roman" w:hAnsi="Times New Roman" w:cs="Times New Roman"/>
          <w:sz w:val="24"/>
          <w:szCs w:val="24"/>
        </w:rPr>
        <w:t>.</w:t>
      </w:r>
    </w:p>
    <w:p w14:paraId="24FAE0E2"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health endpoint checked database connectivity and returned the number of inspection records. The record endpoints supported filtered inspection retrieval and individual-record access. The review endpoint saved operator decisions, while the QA-decision endpoint applied the risk-governed disposition logic.</w:t>
      </w:r>
    </w:p>
    <w:p w14:paraId="47920369"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automatically generated OpenAPI interface was used to inspect and test the backend operations during implementation.</w:t>
      </w:r>
    </w:p>
    <w:p w14:paraId="4799ADA8" w14:textId="77777777" w:rsidR="00E917C5" w:rsidRPr="00B20C11" w:rsidRDefault="00E917C5" w:rsidP="00E917C5">
      <w:pPr>
        <w:spacing w:before="100" w:beforeAutospacing="1" w:after="100" w:afterAutospacing="1" w:line="240" w:lineRule="auto"/>
        <w:outlineLvl w:val="2"/>
        <w:rPr>
          <w:rFonts w:ascii="Times New Roman" w:eastAsia="Times New Roman" w:hAnsi="Times New Roman" w:cs="Times New Roman"/>
          <w:b/>
          <w:bCs/>
          <w:sz w:val="27"/>
          <w:szCs w:val="27"/>
        </w:rPr>
      </w:pPr>
      <w:r w:rsidRPr="00B20C11">
        <w:rPr>
          <w:rFonts w:ascii="Times New Roman" w:eastAsia="Times New Roman" w:hAnsi="Times New Roman" w:cs="Times New Roman"/>
          <w:b/>
          <w:bCs/>
          <w:sz w:val="27"/>
          <w:szCs w:val="27"/>
        </w:rPr>
        <w:t>3.14.3 NiceGUI operator dashboard</w:t>
      </w:r>
    </w:p>
    <w:p w14:paraId="6DA7F00D"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lastRenderedPageBreak/>
        <w:t>NiceGUI was used to implement the operator-facing dashboard. The interface displayed a database summary, filterable inspection records, selected-record details, the recommended QA disposition and the latest operator review.</w:t>
      </w:r>
    </w:p>
    <w:p w14:paraId="5EB123BF"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operator could enter or select an inspection record, load its full evidence, choose a review decision, provide a note and save the review to PostgreSQL. The dashboard then recalculated the quality disposition using the latest recorded review.</w:t>
      </w:r>
    </w:p>
    <w:p w14:paraId="4CB54E7F"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An evidence-linked review panel connected the selected </w:t>
      </w:r>
      <w:r w:rsidRPr="00B20C11">
        <w:rPr>
          <w:rFonts w:ascii="Courier New" w:eastAsia="Times New Roman" w:hAnsi="Courier New" w:cs="Courier New"/>
          <w:sz w:val="20"/>
          <w:szCs w:val="20"/>
        </w:rPr>
        <w:t>image_id</w:t>
      </w:r>
      <w:r w:rsidRPr="00B20C11">
        <w:rPr>
          <w:rFonts w:ascii="Times New Roman" w:eastAsia="Times New Roman" w:hAnsi="Times New Roman" w:cs="Times New Roman"/>
          <w:sz w:val="24"/>
          <w:szCs w:val="24"/>
        </w:rPr>
        <w:t xml:space="preserve"> to visual artefacts stored in the output directories. The panel displayed available annotated evidence, heatmap overlays, predicted masks and anomaly maps. Duplicate artefacts were removed and evidence types were clearly labelled.</w:t>
      </w:r>
    </w:p>
    <w:p w14:paraId="62913E7E"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This panel established a traceable link between the database record, model evidence, operator judgement and final quality disposition.</w:t>
      </w:r>
    </w:p>
    <w:p w14:paraId="7917583D" w14:textId="77777777" w:rsidR="00E917C5" w:rsidRPr="00B20C11" w:rsidRDefault="00E917C5" w:rsidP="00E917C5">
      <w:pPr>
        <w:spacing w:before="100" w:beforeAutospacing="1" w:after="100" w:afterAutospacing="1" w:line="240" w:lineRule="auto"/>
        <w:outlineLvl w:val="1"/>
        <w:rPr>
          <w:rFonts w:ascii="Times New Roman" w:eastAsia="Times New Roman" w:hAnsi="Times New Roman" w:cs="Times New Roman"/>
          <w:b/>
          <w:bCs/>
          <w:sz w:val="36"/>
          <w:szCs w:val="36"/>
        </w:rPr>
      </w:pPr>
      <w:r w:rsidRPr="00B20C11">
        <w:rPr>
          <w:rFonts w:ascii="Times New Roman" w:eastAsia="Times New Roman" w:hAnsi="Times New Roman" w:cs="Times New Roman"/>
          <w:b/>
          <w:bCs/>
          <w:sz w:val="36"/>
          <w:szCs w:val="36"/>
        </w:rPr>
        <w:t>3.15 Evaluation methodology</w:t>
      </w:r>
    </w:p>
    <w:p w14:paraId="0FA10EA7" w14:textId="77777777" w:rsidR="00E917C5" w:rsidRPr="00B20C11" w:rsidRDefault="00E917C5" w:rsidP="00E917C5">
      <w:pPr>
        <w:spacing w:before="100" w:beforeAutospacing="1" w:after="100" w:afterAutospacing="1" w:line="240" w:lineRule="auto"/>
        <w:outlineLvl w:val="2"/>
        <w:rPr>
          <w:rFonts w:ascii="Times New Roman" w:eastAsia="Times New Roman" w:hAnsi="Times New Roman" w:cs="Times New Roman"/>
          <w:b/>
          <w:bCs/>
          <w:sz w:val="27"/>
          <w:szCs w:val="27"/>
        </w:rPr>
      </w:pPr>
      <w:r w:rsidRPr="00B20C11">
        <w:rPr>
          <w:rFonts w:ascii="Times New Roman" w:eastAsia="Times New Roman" w:hAnsi="Times New Roman" w:cs="Times New Roman"/>
          <w:b/>
          <w:bCs/>
          <w:sz w:val="27"/>
          <w:szCs w:val="27"/>
        </w:rPr>
        <w:t>3.15.1 Image-level anomaly detection</w:t>
      </w:r>
    </w:p>
    <w:p w14:paraId="30BBE520"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Image-level performance was evaluated using AUROC, accuracy, precision, recall and F1-score.</w:t>
      </w:r>
    </w:p>
    <w:p w14:paraId="3351C8E7"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AUROC measured the ability of the anomaly score to rank anomalous images above normal images across possible decision thresholds. It was included because it allowed detector comparison without relying on a single operating threshold (Fawcett, 2006).</w:t>
      </w:r>
    </w:p>
    <w:p w14:paraId="63951C4F" w14:textId="77777777" w:rsidR="00E917C5" w:rsidRPr="00047B45"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Precision was calculated as:</w:t>
      </w:r>
      <w:r w:rsidRPr="00B20C11">
        <w:rPr>
          <w:rFonts w:ascii="Times New Roman" w:eastAsia="Times New Roman" w:hAnsi="Times New Roman" w:cs="Times New Roman"/>
          <w:sz w:val="24"/>
          <w:szCs w:val="24"/>
        </w:rPr>
        <w:br/>
      </w:r>
      <m:oMathPara>
        <m:oMath>
          <m:r>
            <m:rPr>
              <m:nor/>
            </m:rPr>
            <w:rPr>
              <w:rFonts w:ascii="Cambria Math" w:eastAsiaTheme="minorEastAsia" w:hAnsi="Cambria Math"/>
            </w:rPr>
            <m:t>Precision</m:t>
          </m: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TP</m:t>
              </m:r>
              <m:ctrlPr>
                <w:rPr>
                  <w:rFonts w:ascii="Cambria Math" w:eastAsiaTheme="minorEastAsia" w:hAnsi="Cambria Math"/>
                  <w:i/>
                </w:rPr>
              </m:ctrlPr>
            </m:num>
            <m:den>
              <m:r>
                <w:rPr>
                  <w:rFonts w:ascii="Cambria Math" w:eastAsiaTheme="minorEastAsia" w:hAnsi="Cambria Math"/>
                </w:rPr>
                <m:t>TP+FP</m:t>
              </m:r>
              <m:ctrlPr>
                <w:rPr>
                  <w:rFonts w:ascii="Cambria Math" w:eastAsiaTheme="minorEastAsia" w:hAnsi="Cambria Math"/>
                  <w:i/>
                </w:rPr>
              </m:ctrlPr>
            </m:den>
          </m:f>
        </m:oMath>
      </m:oMathPara>
    </w:p>
    <w:p w14:paraId="6A6BED18"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Recall was calculated as:</w:t>
      </w:r>
    </w:p>
    <w:p w14:paraId="4973AF39" w14:textId="77777777" w:rsidR="00E917C5" w:rsidRPr="00E917C5" w:rsidRDefault="00E917C5" w:rsidP="00E917C5">
      <w:pPr>
        <w:rPr>
          <w:rFonts w:eastAsiaTheme="minorEastAsia"/>
        </w:rPr>
      </w:pPr>
      <m:oMathPara>
        <m:oMath>
          <m:r>
            <m:rPr>
              <m:nor/>
            </m:rPr>
            <w:rPr>
              <w:rFonts w:ascii="Cambria Math" w:eastAsiaTheme="minorEastAsia" w:hAnsi="Cambria Math"/>
            </w:rPr>
            <m:t>Recall</m:t>
          </m: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TP</m:t>
              </m:r>
              <m:ctrlPr>
                <w:rPr>
                  <w:rFonts w:ascii="Cambria Math" w:eastAsiaTheme="minorEastAsia" w:hAnsi="Cambria Math"/>
                  <w:i/>
                </w:rPr>
              </m:ctrlPr>
            </m:num>
            <m:den>
              <m:r>
                <w:rPr>
                  <w:rFonts w:ascii="Cambria Math" w:eastAsiaTheme="minorEastAsia" w:hAnsi="Cambria Math"/>
                </w:rPr>
                <m:t>TP+FN</m:t>
              </m:r>
              <m:ctrlPr>
                <w:rPr>
                  <w:rFonts w:ascii="Cambria Math" w:eastAsiaTheme="minorEastAsia" w:hAnsi="Cambria Math"/>
                  <w:i/>
                </w:rPr>
              </m:ctrlPr>
            </m:den>
          </m:f>
        </m:oMath>
      </m:oMathPara>
    </w:p>
    <w:p w14:paraId="7616010F"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F1-score was calculated as:</w:t>
      </w:r>
    </w:p>
    <w:p w14:paraId="4533971B" w14:textId="77777777" w:rsidR="00E917C5" w:rsidRPr="00E917C5" w:rsidRDefault="00E917C5" w:rsidP="00E917C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=2</m:t>
          </m:r>
          <m:f>
            <m:fPr>
              <m:ctrlPr>
                <w:rPr>
                  <w:rFonts w:ascii="Cambria Math" w:eastAsiaTheme="minorEastAsia" w:hAnsi="Cambria Math"/>
                </w:rPr>
              </m:ctrlPr>
            </m:fPr>
            <m:num>
              <m:r>
                <m:rPr>
                  <m:nor/>
                </m:rPr>
                <w:rPr>
                  <w:rFonts w:ascii="Cambria Math" w:eastAsiaTheme="minorEastAsia" w:hAnsi="Cambria Math"/>
                </w:rPr>
                <m:t>Precision</m:t>
              </m:r>
              <m:r>
                <m:rPr>
                  <m:sty m:val="p"/>
                </m:rPr>
                <w:rPr>
                  <w:rFonts w:ascii="Cambria Math" w:eastAsiaTheme="minorEastAsia" w:hAnsi="Cambria Math"/>
                </w:rPr>
                <m:t>×</m:t>
              </m:r>
              <m:r>
                <m:rPr>
                  <m:nor/>
                </m:rPr>
                <w:rPr>
                  <w:rFonts w:ascii="Cambria Math" w:eastAsiaTheme="minorEastAsia" w:hAnsi="Cambria Math"/>
                </w:rPr>
                <m:t>Recall</m:t>
              </m:r>
              <m:ctrlPr>
                <w:rPr>
                  <w:rFonts w:ascii="Cambria Math" w:eastAsiaTheme="minorEastAsia" w:hAnsi="Cambria Math"/>
                  <w:i/>
                </w:rPr>
              </m:ctrlPr>
            </m:num>
            <m:den>
              <m:r>
                <m:rPr>
                  <m:nor/>
                </m:rPr>
                <w:rPr>
                  <w:rFonts w:ascii="Cambria Math" w:eastAsiaTheme="minorEastAsia" w:hAnsi="Cambria Math"/>
                </w:rPr>
                <m:t>Precision</m:t>
              </m:r>
              <m:r>
                <w:rPr>
                  <w:rFonts w:ascii="Cambria Math" w:eastAsiaTheme="minorEastAsia" w:hAnsi="Cambria Math"/>
                </w:rPr>
                <m:t>+</m:t>
              </m:r>
              <m:r>
                <m:rPr>
                  <m:nor/>
                </m:rPr>
                <w:rPr>
                  <w:rFonts w:ascii="Cambria Math" w:eastAsiaTheme="minorEastAsia" w:hAnsi="Cambria Math"/>
                </w:rPr>
                <m:t>Recall</m:t>
              </m:r>
              <m:ctrlPr>
                <w:rPr>
                  <w:rFonts w:ascii="Cambria Math" w:eastAsiaTheme="minorEastAsia" w:hAnsi="Cambria Math"/>
                  <w:i/>
                </w:rPr>
              </m:ctrlPr>
            </m:den>
          </m:f>
        </m:oMath>
      </m:oMathPara>
    </w:p>
    <w:p w14:paraId="6738CDFC"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Accuracy was reported as the overall proportion of correct normal and anomalous decisions. Precision and recall were retained because accuracy alone could obscure the difference between false rejection of normal products and missed anomalous products.</w:t>
      </w:r>
    </w:p>
    <w:p w14:paraId="09431AF6" w14:textId="77777777" w:rsidR="00E917C5" w:rsidRPr="00B20C11" w:rsidRDefault="00E917C5" w:rsidP="00E917C5">
      <w:pPr>
        <w:spacing w:before="100" w:beforeAutospacing="1" w:after="100" w:afterAutospacing="1" w:line="240" w:lineRule="auto"/>
        <w:outlineLvl w:val="2"/>
        <w:rPr>
          <w:rFonts w:ascii="Times New Roman" w:eastAsia="Times New Roman" w:hAnsi="Times New Roman" w:cs="Times New Roman"/>
          <w:b/>
          <w:bCs/>
          <w:sz w:val="27"/>
          <w:szCs w:val="27"/>
        </w:rPr>
      </w:pPr>
      <w:r w:rsidRPr="00B20C11">
        <w:rPr>
          <w:rFonts w:ascii="Times New Roman" w:eastAsia="Times New Roman" w:hAnsi="Times New Roman" w:cs="Times New Roman"/>
          <w:b/>
          <w:bCs/>
          <w:sz w:val="27"/>
          <w:szCs w:val="27"/>
        </w:rPr>
        <w:t>3.15.2 Localisation</w:t>
      </w:r>
    </w:p>
    <w:p w14:paraId="6E6DFDBF"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lastRenderedPageBreak/>
        <w:t>Pixel-level localisation was assessed using Intersection over Union and the Dice coefficient.</w:t>
      </w:r>
    </w:p>
    <w:p w14:paraId="0CAC72F0" w14:textId="77777777" w:rsidR="00E917C5" w:rsidRPr="00FB590A" w:rsidRDefault="00E917C5" w:rsidP="00E917C5">
      <w:pPr>
        <w:spacing w:before="100" w:beforeAutospacing="1" w:after="100" w:afterAutospacing="1" w:line="240" w:lineRule="auto"/>
        <w:rPr>
          <w:rFonts w:ascii="Times New Roman" w:eastAsia="Times New Roman" w:hAnsi="Times New Roman" w:cs="Times New Roman"/>
        </w:rPr>
      </w:pPr>
      <m:oMathPara>
        <m:oMath>
          <m:r>
            <w:rPr>
              <w:rFonts w:ascii="Cambria Math" w:eastAsiaTheme="minorEastAsia" w:hAnsi="Cambria Math"/>
            </w:rPr>
            <m:t>IoU=</m:t>
          </m:r>
          <m:f>
            <m:fPr>
              <m:ctrlPr>
                <w:rPr>
                  <w:rFonts w:ascii="Cambria Math" w:eastAsiaTheme="minorEastAsia" w:hAnsi="Cambria Math"/>
                </w:rPr>
              </m:ctrlPr>
            </m:fPr>
            <m:num>
              <m:r>
                <w:rPr>
                  <w:rFonts w:ascii="Cambria Math" w:eastAsiaTheme="minorEastAsia" w:hAnsi="Cambria Math"/>
                </w:rPr>
                <m:t>TP</m:t>
              </m:r>
              <m:ctrlPr>
                <w:rPr>
                  <w:rFonts w:ascii="Cambria Math" w:eastAsiaTheme="minorEastAsia" w:hAnsi="Cambria Math"/>
                  <w:i/>
                </w:rPr>
              </m:ctrlPr>
            </m:num>
            <m:den>
              <m:r>
                <w:rPr>
                  <w:rFonts w:ascii="Cambria Math" w:eastAsiaTheme="minorEastAsia" w:hAnsi="Cambria Math"/>
                </w:rPr>
                <m:t>TP+FP+FN</m:t>
              </m:r>
              <m:ctrlPr>
                <w:rPr>
                  <w:rFonts w:ascii="Cambria Math" w:eastAsiaTheme="minorEastAsia" w:hAnsi="Cambria Math"/>
                  <w:i/>
                </w:rPr>
              </m:ctrlPr>
            </m:den>
          </m:f>
        </m:oMath>
      </m:oMathPara>
    </w:p>
    <w:p w14:paraId="4EC2200D" w14:textId="77777777" w:rsidR="00E917C5" w:rsidRPr="00FB590A" w:rsidRDefault="00E917C5" w:rsidP="00E917C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w:t>
      </w:r>
      <w:r w:rsidRPr="00B20C11">
        <w:rPr>
          <w:rFonts w:ascii="Times New Roman" w:eastAsia="Times New Roman" w:hAnsi="Times New Roman" w:cs="Times New Roman"/>
          <w:sz w:val="24"/>
          <w:szCs w:val="24"/>
        </w:rPr>
        <w:t xml:space="preserve"> </w:t>
      </w:r>
    </w:p>
    <w:p w14:paraId="08547BC7" w14:textId="77777777" w:rsidR="00E917C5" w:rsidRDefault="00E917C5" w:rsidP="00E917C5">
      <w:pPr>
        <w:spacing w:before="100" w:beforeAutospacing="1" w:after="100" w:afterAutospacing="1" w:line="240" w:lineRule="auto"/>
        <w:rPr>
          <w:rFonts w:ascii="Times New Roman" w:eastAsia="Times New Roman" w:hAnsi="Times New Roman" w:cs="Times New Roman"/>
        </w:rPr>
      </w:pPr>
      <m:oMathPara>
        <m:oMath>
          <m:r>
            <w:rPr>
              <w:rFonts w:ascii="Cambria Math" w:eastAsiaTheme="minorEastAsia" w:hAnsi="Cambria Math"/>
            </w:rPr>
            <m:t>Dice=</m:t>
          </m:r>
          <m:f>
            <m:fPr>
              <m:ctrlPr>
                <w:rPr>
                  <w:rFonts w:ascii="Cambria Math" w:eastAsiaTheme="minorEastAsia" w:hAnsi="Cambria Math"/>
                </w:rPr>
              </m:ctrlPr>
            </m:fPr>
            <m:num>
              <m:r>
                <w:rPr>
                  <w:rFonts w:ascii="Cambria Math" w:eastAsiaTheme="minorEastAsia" w:hAnsi="Cambria Math"/>
                </w:rPr>
                <m:t>2TP</m:t>
              </m:r>
              <m:ctrlPr>
                <w:rPr>
                  <w:rFonts w:ascii="Cambria Math" w:eastAsiaTheme="minorEastAsia" w:hAnsi="Cambria Math"/>
                  <w:i/>
                </w:rPr>
              </m:ctrlPr>
            </m:num>
            <m:den>
              <m:r>
                <w:rPr>
                  <w:rFonts w:ascii="Cambria Math" w:eastAsiaTheme="minorEastAsia" w:hAnsi="Cambria Math"/>
                </w:rPr>
                <m:t>2TP+FP+FN</m:t>
              </m:r>
              <m:ctrlPr>
                <w:rPr>
                  <w:rFonts w:ascii="Cambria Math" w:eastAsiaTheme="minorEastAsia" w:hAnsi="Cambria Math"/>
                  <w:i/>
                </w:rPr>
              </m:ctrlPr>
            </m:den>
          </m:f>
        </m:oMath>
      </m:oMathPara>
    </w:p>
    <w:p w14:paraId="2C1D27BC"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For these calculations, true positives represented anomalous pixels present in both the predicted mask and the ground-truth mask. False positives were pixels predicted as anomalous outside the ground truth, while false negatives were ground-truth anomalous pixels missed by the prediction.</w:t>
      </w:r>
    </w:p>
    <w:p w14:paraId="758A11BD"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Mean and median values were reported because localisation scores could vary substantially between defect types and image instances. Dice was included as an overlap measure that gives greater weight to the shared region between two masks (Dice, 1945).</w:t>
      </w:r>
    </w:p>
    <w:p w14:paraId="4CD77393" w14:textId="77777777" w:rsidR="00E917C5" w:rsidRPr="00B20C11" w:rsidRDefault="00E917C5" w:rsidP="00E917C5">
      <w:pPr>
        <w:spacing w:before="100" w:beforeAutospacing="1" w:after="100" w:afterAutospacing="1" w:line="240" w:lineRule="auto"/>
        <w:outlineLvl w:val="2"/>
        <w:rPr>
          <w:rFonts w:ascii="Times New Roman" w:eastAsia="Times New Roman" w:hAnsi="Times New Roman" w:cs="Times New Roman"/>
          <w:b/>
          <w:bCs/>
          <w:sz w:val="27"/>
          <w:szCs w:val="27"/>
        </w:rPr>
      </w:pPr>
      <w:r w:rsidRPr="00B20C11">
        <w:rPr>
          <w:rFonts w:ascii="Times New Roman" w:eastAsia="Times New Roman" w:hAnsi="Times New Roman" w:cs="Times New Roman"/>
          <w:b/>
          <w:bCs/>
          <w:sz w:val="27"/>
          <w:szCs w:val="27"/>
        </w:rPr>
        <w:t>3.15.3 Operational evaluation</w:t>
      </w:r>
    </w:p>
    <w:p w14:paraId="0079A83F"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human-review rate was calculated as:</w:t>
      </w:r>
    </w:p>
    <w:p w14:paraId="56382432" w14:textId="77777777" w:rsidR="00E917C5" w:rsidRPr="00E917C5" w:rsidRDefault="00E917C5" w:rsidP="00E917C5">
      <w:pPr>
        <w:rPr>
          <w:rFonts w:eastAsiaTheme="minorEastAsia"/>
        </w:rPr>
      </w:pPr>
      <m:oMathPara>
        <m:oMath>
          <m:r>
            <m:rPr>
              <m:nor/>
            </m:rPr>
            <w:rPr>
              <w:rFonts w:ascii="Cambria Math" w:eastAsiaTheme="minorEastAsia" w:hAnsi="Cambria Math"/>
            </w:rPr>
            <m:t>Review rate</m:t>
          </m:r>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N</m:t>
                  </m:r>
                </m:e>
                <m:sub>
                  <m:r>
                    <m:rPr>
                      <m:nor/>
                    </m:rPr>
                    <w:rPr>
                      <w:rFonts w:ascii="Cambria Math" w:eastAsiaTheme="minorEastAsia" w:hAnsi="Cambria Math"/>
                    </w:rPr>
                    <m:t>review required</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N</m:t>
                  </m:r>
                </m:e>
                <m:sub>
                  <m:r>
                    <m:rPr>
                      <m:nor/>
                    </m:rPr>
                    <w:rPr>
                      <w:rFonts w:ascii="Cambria Math" w:eastAsiaTheme="minorEastAsia" w:hAnsi="Cambria Math"/>
                    </w:rPr>
                    <m:t>inspection records</m:t>
                  </m:r>
                </m:sub>
              </m:sSub>
              <m:ctrlPr>
                <w:rPr>
                  <w:rFonts w:ascii="Cambria Math" w:eastAsiaTheme="minorEastAsia" w:hAnsi="Cambria Math"/>
                  <w:i/>
                </w:rPr>
              </m:ctrlPr>
            </m:den>
          </m:f>
        </m:oMath>
      </m:oMathPara>
    </w:p>
    <w:p w14:paraId="42D16B8E" w14:textId="77777777" w:rsidR="00E917C5"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523857">
        <w:rPr>
          <w:rFonts w:ascii="Times New Roman" w:eastAsia="Times New Roman" w:hAnsi="Times New Roman" w:cs="Times New Roman"/>
          <w:sz w:val="24"/>
          <w:szCs w:val="24"/>
        </w:rPr>
        <w:t xml:space="preserve">Here, </w:t>
      </w:r>
      <m:oMath>
        <m:sSub>
          <m:sSubPr>
            <m:ctrlPr>
              <w:rPr>
                <w:rFonts w:ascii="Cambria Math" w:eastAsiaTheme="minorEastAsia" w:hAnsi="Cambria Math"/>
                <w:b/>
                <w:bCs/>
                <w:i/>
              </w:rPr>
            </m:ctrlPr>
          </m:sSubPr>
          <m:e>
            <m:r>
              <m:rPr>
                <m:sty m:val="bi"/>
              </m:rPr>
              <w:rPr>
                <w:rFonts w:ascii="Cambria Math" w:eastAsiaTheme="minorEastAsia" w:hAnsi="Cambria Math"/>
              </w:rPr>
              <m:t>N</m:t>
            </m:r>
          </m:e>
          <m:sub>
            <m:r>
              <m:rPr>
                <m:nor/>
              </m:rPr>
              <w:rPr>
                <w:rFonts w:ascii="Cambria Math" w:eastAsiaTheme="minorEastAsia" w:hAnsi="Cambria Math"/>
                <w:b/>
                <w:bCs/>
              </w:rPr>
              <m:t>review required</m:t>
            </m:r>
          </m:sub>
        </m:sSub>
      </m:oMath>
      <w:r w:rsidRPr="00523857">
        <w:rPr>
          <w:rFonts w:ascii="Times New Roman" w:eastAsia="Times New Roman" w:hAnsi="Times New Roman" w:cs="Times New Roman"/>
          <w:sz w:val="24"/>
          <w:szCs w:val="24"/>
        </w:rPr>
        <w:t xml:space="preserve">​ is the number of inspection cases routed for human review, while </w:t>
      </w:r>
      <m:oMath>
        <m:sSub>
          <m:sSubPr>
            <m:ctrlPr>
              <w:rPr>
                <w:rFonts w:ascii="Cambria Math" w:eastAsiaTheme="minorEastAsia" w:hAnsi="Cambria Math"/>
                <w:b/>
                <w:bCs/>
                <w:i/>
              </w:rPr>
            </m:ctrlPr>
          </m:sSubPr>
          <m:e>
            <m:r>
              <m:rPr>
                <m:sty m:val="bi"/>
              </m:rPr>
              <w:rPr>
                <w:rFonts w:ascii="Cambria Math" w:eastAsiaTheme="minorEastAsia" w:hAnsi="Cambria Math"/>
              </w:rPr>
              <m:t>N</m:t>
            </m:r>
          </m:e>
          <m:sub>
            <m:r>
              <m:rPr>
                <m:nor/>
              </m:rPr>
              <w:rPr>
                <w:rFonts w:ascii="Cambria Math" w:eastAsiaTheme="minorEastAsia" w:hAnsi="Cambria Math"/>
                <w:b/>
                <w:bCs/>
              </w:rPr>
              <m:t>inspection records</m:t>
            </m:r>
          </m:sub>
        </m:sSub>
      </m:oMath>
      <w:r w:rsidRPr="00523857">
        <w:rPr>
          <w:rFonts w:ascii="Times New Roman" w:eastAsia="Times New Roman" w:hAnsi="Times New Roman" w:cs="Times New Roman"/>
          <w:sz w:val="24"/>
          <w:szCs w:val="24"/>
        </w:rPr>
        <w:t>​ is the total number of evaluated inspection records.</w:t>
      </w:r>
    </w:p>
    <w:p w14:paraId="77180046"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This metric measured the proportion of cases that could not be resolved automatically by the full pipeline. It was important because two detectors with similar classification scores could create different workloads once confidence, semantics and risk rules were considered.</w:t>
      </w:r>
    </w:p>
    <w:p w14:paraId="6ECF6787"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evaluation also examined:</w:t>
      </w:r>
    </w:p>
    <w:p w14:paraId="25C387AD" w14:textId="77777777" w:rsidR="00E917C5" w:rsidRPr="00B20C11" w:rsidRDefault="00E917C5" w:rsidP="00E917C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frequency of unknown semantic labels;</w:t>
      </w:r>
    </w:p>
    <w:p w14:paraId="5938C566" w14:textId="77777777" w:rsidR="00E917C5" w:rsidRPr="00B20C11" w:rsidRDefault="00E917C5" w:rsidP="00E917C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effect of semantic fallback rules;</w:t>
      </w:r>
    </w:p>
    <w:p w14:paraId="71F9B3D1" w14:textId="77777777" w:rsidR="00E917C5" w:rsidRPr="00B20C11" w:rsidRDefault="00E917C5" w:rsidP="00E917C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distribution of risk classes;</w:t>
      </w:r>
    </w:p>
    <w:p w14:paraId="137449FF" w14:textId="77777777" w:rsidR="00E917C5" w:rsidRPr="00B20C11" w:rsidRDefault="00E917C5" w:rsidP="00E917C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resulting quality dispositions;</w:t>
      </w:r>
    </w:p>
    <w:p w14:paraId="6F4772DB" w14:textId="77777777" w:rsidR="00E917C5" w:rsidRPr="00B20C11" w:rsidRDefault="00E917C5" w:rsidP="00E917C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successful database persistence;</w:t>
      </w:r>
    </w:p>
    <w:p w14:paraId="230E36BE" w14:textId="77777777" w:rsidR="00E917C5" w:rsidRPr="00B20C11" w:rsidRDefault="00E917C5" w:rsidP="00E917C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successful operator-review submission;</w:t>
      </w:r>
    </w:p>
    <w:p w14:paraId="7356E22C" w14:textId="77777777" w:rsidR="00E917C5" w:rsidRPr="00B20C11" w:rsidRDefault="00E917C5" w:rsidP="00E917C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traceability of evidence displayed to the operator.</w:t>
      </w:r>
    </w:p>
    <w:p w14:paraId="672FB94E" w14:textId="77777777" w:rsidR="00E917C5" w:rsidRPr="00B20C11" w:rsidRDefault="00E917C5" w:rsidP="00E917C5">
      <w:pPr>
        <w:spacing w:before="100" w:beforeAutospacing="1" w:after="100" w:afterAutospacing="1" w:line="240" w:lineRule="auto"/>
        <w:outlineLvl w:val="2"/>
        <w:rPr>
          <w:rFonts w:ascii="Times New Roman" w:eastAsia="Times New Roman" w:hAnsi="Times New Roman" w:cs="Times New Roman"/>
          <w:b/>
          <w:bCs/>
          <w:sz w:val="27"/>
          <w:szCs w:val="27"/>
        </w:rPr>
      </w:pPr>
      <w:r w:rsidRPr="00B20C11">
        <w:rPr>
          <w:rFonts w:ascii="Times New Roman" w:eastAsia="Times New Roman" w:hAnsi="Times New Roman" w:cs="Times New Roman"/>
          <w:b/>
          <w:bCs/>
          <w:sz w:val="27"/>
          <w:szCs w:val="27"/>
        </w:rPr>
        <w:t>3.15.4 Experimental sequence</w:t>
      </w:r>
    </w:p>
    <w:p w14:paraId="2CE4C0FA"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experiments were conducted in the following order:</w:t>
      </w:r>
    </w:p>
    <w:p w14:paraId="5ECBEFEA" w14:textId="77777777" w:rsidR="00E917C5" w:rsidRPr="00B20C11" w:rsidRDefault="00E917C5" w:rsidP="00E917C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lastRenderedPageBreak/>
        <w:t>validation of the end-to-end pipeline using the statistical detector;</w:t>
      </w:r>
    </w:p>
    <w:p w14:paraId="50BFCD95" w14:textId="77777777" w:rsidR="00E917C5" w:rsidRPr="00B20C11" w:rsidRDefault="00E917C5" w:rsidP="00E917C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integration of PatchCore for bottle, capsule and hazelnut;</w:t>
      </w:r>
    </w:p>
    <w:p w14:paraId="693EA458" w14:textId="77777777" w:rsidR="00E917C5" w:rsidRPr="00B20C11" w:rsidRDefault="00E917C5" w:rsidP="00E917C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integration of PaDiM for the same categories;</w:t>
      </w:r>
    </w:p>
    <w:p w14:paraId="2333AE4B" w14:textId="77777777" w:rsidR="00E917C5" w:rsidRPr="00B20C11" w:rsidRDefault="00E917C5" w:rsidP="00E917C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comparison of image-level metrics and human-review rates;</w:t>
      </w:r>
    </w:p>
    <w:p w14:paraId="10B2436C" w14:textId="77777777" w:rsidR="00E917C5" w:rsidRPr="00B20C11" w:rsidRDefault="00E917C5" w:rsidP="00E917C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evaluation of localisation using IoU and Dice;</w:t>
      </w:r>
    </w:p>
    <w:p w14:paraId="21D14759" w14:textId="77777777" w:rsidR="00E917C5" w:rsidRPr="00B20C11" w:rsidRDefault="00E917C5" w:rsidP="00E917C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localisation threshold sweeps;</w:t>
      </w:r>
    </w:p>
    <w:p w14:paraId="74AAF540" w14:textId="77777777" w:rsidR="00E917C5" w:rsidRPr="00B20C11" w:rsidRDefault="00E917C5" w:rsidP="00E917C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evaluation of semantic fallback behaviour;</w:t>
      </w:r>
    </w:p>
    <w:p w14:paraId="5D8F82DF" w14:textId="77777777" w:rsidR="00E917C5" w:rsidRPr="00B20C11" w:rsidRDefault="00E917C5" w:rsidP="00E917C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implementation of risk and confidence logic;</w:t>
      </w:r>
    </w:p>
    <w:p w14:paraId="659C9122" w14:textId="77777777" w:rsidR="00E917C5" w:rsidRPr="00B20C11" w:rsidRDefault="00E917C5" w:rsidP="00E917C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validation of the QA disposition workflow;</w:t>
      </w:r>
    </w:p>
    <w:p w14:paraId="4278A350" w14:textId="77777777" w:rsidR="00E917C5" w:rsidRPr="00B20C11" w:rsidRDefault="00E917C5" w:rsidP="00E917C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loading of results into PostgreSQL;</w:t>
      </w:r>
    </w:p>
    <w:p w14:paraId="291E055D" w14:textId="77777777" w:rsidR="00E917C5" w:rsidRPr="00B20C11" w:rsidRDefault="00E917C5" w:rsidP="00E917C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validation of the FastAPI backend;</w:t>
      </w:r>
    </w:p>
    <w:p w14:paraId="7FC07754" w14:textId="77777777" w:rsidR="00E917C5" w:rsidRPr="00B20C11" w:rsidRDefault="00E917C5" w:rsidP="00E917C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validation of the NiceGUI dashboard and evidence-linked review panel;</w:t>
      </w:r>
    </w:p>
    <w:p w14:paraId="15AEDAB6" w14:textId="77777777" w:rsidR="00E917C5" w:rsidRPr="00B20C11" w:rsidRDefault="00E917C5" w:rsidP="00E917C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comparison of alternative PatchCore and PaDiM backbones.</w:t>
      </w:r>
    </w:p>
    <w:p w14:paraId="70094212"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This sequence allowed model performance to be established before the wider operational application was evaluated.</w:t>
      </w:r>
    </w:p>
    <w:p w14:paraId="2E389118" w14:textId="77777777" w:rsidR="00E917C5" w:rsidRPr="00B20C11" w:rsidRDefault="00E917C5" w:rsidP="00E917C5">
      <w:pPr>
        <w:spacing w:before="100" w:beforeAutospacing="1" w:after="100" w:afterAutospacing="1" w:line="240" w:lineRule="auto"/>
        <w:outlineLvl w:val="1"/>
        <w:rPr>
          <w:rFonts w:ascii="Times New Roman" w:eastAsia="Times New Roman" w:hAnsi="Times New Roman" w:cs="Times New Roman"/>
          <w:b/>
          <w:bCs/>
          <w:sz w:val="36"/>
          <w:szCs w:val="36"/>
        </w:rPr>
      </w:pPr>
      <w:r w:rsidRPr="00B20C11">
        <w:rPr>
          <w:rFonts w:ascii="Times New Roman" w:eastAsia="Times New Roman" w:hAnsi="Times New Roman" w:cs="Times New Roman"/>
          <w:b/>
          <w:bCs/>
          <w:sz w:val="36"/>
          <w:szCs w:val="36"/>
        </w:rPr>
        <w:t>3.16 Reliability, validity and reproducibility</w:t>
      </w:r>
    </w:p>
    <w:p w14:paraId="4B231691"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Internal consistency was supported by using the same dataset categories and folder structure across detector configurations. Architecture comparisons changed the selected backbone or explicitly identified hyperparameter while retaining the same evaluation data.</w:t>
      </w:r>
    </w:p>
    <w:p w14:paraId="1C259225"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Construct validity was supported by evaluating the system at several levels. AUROC and F1 measured image-level detection, IoU and Dice measured spatial overlap, and human-review rate measured the operational effect of uncertainty and governance rules.</w:t>
      </w:r>
    </w:p>
    <w:p w14:paraId="68644445"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Reproducibility was supported through:</w:t>
      </w:r>
    </w:p>
    <w:p w14:paraId="699BF90F" w14:textId="77777777" w:rsidR="00E917C5" w:rsidRPr="00B20C11" w:rsidRDefault="00E917C5" w:rsidP="00E917C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configuration-controlled thresholds and policies;</w:t>
      </w:r>
    </w:p>
    <w:p w14:paraId="1FAEA72B" w14:textId="77777777" w:rsidR="00E917C5" w:rsidRPr="00B20C11" w:rsidRDefault="00E917C5" w:rsidP="00E917C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separate output directories for each experiment;</w:t>
      </w:r>
    </w:p>
    <w:p w14:paraId="0A4FD39F" w14:textId="77777777" w:rsidR="00E917C5" w:rsidRPr="00B20C11" w:rsidRDefault="00E917C5" w:rsidP="00E917C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retained CSV and JSONL results;</w:t>
      </w:r>
    </w:p>
    <w:p w14:paraId="33763AAD" w14:textId="77777777" w:rsidR="00E917C5" w:rsidRPr="00B20C11" w:rsidRDefault="00E917C5" w:rsidP="00E917C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saved visual evidence;</w:t>
      </w:r>
    </w:p>
    <w:p w14:paraId="59B5D65D" w14:textId="77777777" w:rsidR="00E917C5" w:rsidRPr="00B20C11" w:rsidRDefault="00E917C5" w:rsidP="00E917C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architecture-comparison summary files;</w:t>
      </w:r>
    </w:p>
    <w:p w14:paraId="2FED8D9F" w14:textId="77777777" w:rsidR="00E917C5" w:rsidRPr="00B20C11" w:rsidRDefault="00E917C5" w:rsidP="00E917C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version-controlled scripts and documentation;</w:t>
      </w:r>
    </w:p>
    <w:p w14:paraId="475ECC73" w14:textId="77777777" w:rsidR="00E917C5" w:rsidRPr="00B20C11" w:rsidRDefault="00E917C5" w:rsidP="00E917C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a Docker Compose database service;</w:t>
      </w:r>
    </w:p>
    <w:p w14:paraId="1AD640C1" w14:textId="77777777" w:rsidR="00E917C5" w:rsidRPr="00B20C11" w:rsidRDefault="00E917C5" w:rsidP="00E917C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documented execution commands.</w:t>
      </w:r>
    </w:p>
    <w:p w14:paraId="287EF1F3"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main limitation to external validity was the use of three categories from one benchmark dataset. The results therefore support conclusions about the implemented prototype and selected MVTec AD categories but should not be treated as proof of performance for all industrial products or imaging conditions.</w:t>
      </w:r>
    </w:p>
    <w:p w14:paraId="2914B5D8" w14:textId="77777777" w:rsidR="00E917C5" w:rsidRPr="00B20C11" w:rsidRDefault="00E917C5" w:rsidP="00E917C5">
      <w:pPr>
        <w:spacing w:before="100" w:beforeAutospacing="1" w:after="100" w:afterAutospacing="1" w:line="240" w:lineRule="auto"/>
        <w:outlineLvl w:val="1"/>
        <w:rPr>
          <w:rFonts w:ascii="Times New Roman" w:eastAsia="Times New Roman" w:hAnsi="Times New Roman" w:cs="Times New Roman"/>
          <w:b/>
          <w:bCs/>
          <w:sz w:val="36"/>
          <w:szCs w:val="36"/>
        </w:rPr>
      </w:pPr>
      <w:r w:rsidRPr="00B20C11">
        <w:rPr>
          <w:rFonts w:ascii="Times New Roman" w:eastAsia="Times New Roman" w:hAnsi="Times New Roman" w:cs="Times New Roman"/>
          <w:b/>
          <w:bCs/>
          <w:sz w:val="36"/>
          <w:szCs w:val="36"/>
        </w:rPr>
        <w:t>3.17 Ethical and governance considerations</w:t>
      </w:r>
    </w:p>
    <w:p w14:paraId="1A90ECA6"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lastRenderedPageBreak/>
        <w:t>The project did not collect personal data and did not conduct experiments involving human participants. The operator identity used during testing was a demonstration identifier rather than personal research data.</w:t>
      </w:r>
    </w:p>
    <w:p w14:paraId="44D3533A"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main governance considerations arose from the possibility of using anomaly predictions to support decisions about product acceptance or rejection. The design therefore retained human oversight, stored the reasons for review escalation and preserved the visual evidence associated with each decision.</w:t>
      </w:r>
    </w:p>
    <w:p w14:paraId="7A2CB760"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system did not conceal uncertainty. Unknown labels, incomplete risk mappings and low-confidence cases were escalated rather than converted into unsupported automatic decisions. Operator reviews were recorded separately from the original model output so that the automated recommendation and human decision remained distinguishable.</w:t>
      </w:r>
    </w:p>
    <w:p w14:paraId="2083DFE1"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prototype should not be deployed as a safety-critical production controller without further dataset validation, cybersecurity controls, access management, latency testing, domain-expert risk calibration and integration testing with industrial hardware.</w:t>
      </w:r>
    </w:p>
    <w:p w14:paraId="7E3073E8" w14:textId="77777777" w:rsidR="00E917C5" w:rsidRPr="00B20C11" w:rsidRDefault="00E917C5" w:rsidP="00E917C5">
      <w:pPr>
        <w:spacing w:before="100" w:beforeAutospacing="1" w:after="100" w:afterAutospacing="1" w:line="240" w:lineRule="auto"/>
        <w:outlineLvl w:val="1"/>
        <w:rPr>
          <w:rFonts w:ascii="Times New Roman" w:eastAsia="Times New Roman" w:hAnsi="Times New Roman" w:cs="Times New Roman"/>
          <w:b/>
          <w:bCs/>
          <w:sz w:val="36"/>
          <w:szCs w:val="36"/>
        </w:rPr>
      </w:pPr>
      <w:r w:rsidRPr="00B20C11">
        <w:rPr>
          <w:rFonts w:ascii="Times New Roman" w:eastAsia="Times New Roman" w:hAnsi="Times New Roman" w:cs="Times New Roman"/>
          <w:b/>
          <w:bCs/>
          <w:sz w:val="36"/>
          <w:szCs w:val="36"/>
        </w:rPr>
        <w:t>3.18 Chapter summary</w:t>
      </w:r>
    </w:p>
    <w:p w14:paraId="23DB7BD3"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methodology combined experimental anomaly detection with a modular, risk-aware inspection prototype. PatchCore and PaDiM were both implemented because they provided complementary approaches to normality modelling: representative memory-bank matching and multivariate Gaussian patch modelling.</w:t>
      </w:r>
    </w:p>
    <w:p w14:paraId="362A20E6"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A controlled comparison of alternative backbones showed that PatchCore provided the strongest image-level detection results. PatchCore with ResNet50 was selected for the preferred detector configuration because it matched or exceeded the other tested architectures across bottle, capsule and hazelnut. PaDiM remained valuable as a comparative baseline and localisation reference.</w:t>
      </w:r>
    </w:p>
    <w:p w14:paraId="093CE9D4"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The anomaly models were integrated with threshold-based localisation, constrained semantic interpretation, deterministic risk classification, confidence fusion, human-review gating, quality disposition, PostgreSQL audit storage, a FastAPI service and an evidence-linked NiceGUI dashboard. This methodology allowed the study to evaluate not only whether anomalies could be detected, but also how anomaly evidence could support transparent and reviewable quality-control decisions.</w:t>
      </w:r>
    </w:p>
    <w:p w14:paraId="00E32E6E" w14:textId="77777777" w:rsidR="00E917C5" w:rsidRPr="00B20C11" w:rsidRDefault="00E917C5" w:rsidP="00E917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0C11">
        <w:rPr>
          <w:rFonts w:ascii="Times New Roman" w:eastAsia="Times New Roman" w:hAnsi="Times New Roman" w:cs="Times New Roman"/>
          <w:b/>
          <w:bCs/>
          <w:kern w:val="36"/>
          <w:sz w:val="48"/>
          <w:szCs w:val="48"/>
        </w:rPr>
        <w:t>References</w:t>
      </w:r>
    </w:p>
    <w:p w14:paraId="2678DF38"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Akcay, S., Ameln, D., Vaidya, A., Lakshmanan, B., Ahuja, N. and Genc, U. (2022) ‘Anomalib: A deep learning library for anomaly detection’, </w:t>
      </w:r>
      <w:r w:rsidRPr="00B20C11">
        <w:rPr>
          <w:rFonts w:ascii="Times New Roman" w:eastAsia="Times New Roman" w:hAnsi="Times New Roman" w:cs="Times New Roman"/>
          <w:i/>
          <w:iCs/>
          <w:sz w:val="24"/>
          <w:szCs w:val="24"/>
        </w:rPr>
        <w:t>2022 IEEE International Conference on Image Processing (ICIP)</w:t>
      </w:r>
      <w:r w:rsidRPr="00B20C11">
        <w:rPr>
          <w:rFonts w:ascii="Times New Roman" w:eastAsia="Times New Roman" w:hAnsi="Times New Roman" w:cs="Times New Roman"/>
          <w:sz w:val="24"/>
          <w:szCs w:val="24"/>
        </w:rPr>
        <w:t>, pp. 1706–1710. doi:10.1109/ICIP46576.2022.9897283.</w:t>
      </w:r>
    </w:p>
    <w:p w14:paraId="06183619"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Amershi, S., Weld, D., Vorvoreanu, M., Fourney, A., Nushi, B., Collisson, P., Suh, J., Iqbal, S., Bennett, P.N., Inkpen, K., Teevan, J., Kikin-Gil, R. and Horvitz, E. (2019) ‘Guidelines for </w:t>
      </w:r>
      <w:r w:rsidRPr="00B20C11">
        <w:rPr>
          <w:rFonts w:ascii="Times New Roman" w:eastAsia="Times New Roman" w:hAnsi="Times New Roman" w:cs="Times New Roman"/>
          <w:sz w:val="24"/>
          <w:szCs w:val="24"/>
        </w:rPr>
        <w:lastRenderedPageBreak/>
        <w:t xml:space="preserve">human–AI interaction’, </w:t>
      </w:r>
      <w:r w:rsidRPr="00B20C11">
        <w:rPr>
          <w:rFonts w:ascii="Times New Roman" w:eastAsia="Times New Roman" w:hAnsi="Times New Roman" w:cs="Times New Roman"/>
          <w:i/>
          <w:iCs/>
          <w:sz w:val="24"/>
          <w:szCs w:val="24"/>
        </w:rPr>
        <w:t>Proceedings of the 2019 CHI Conference on Human Factors in Computing Systems</w:t>
      </w:r>
      <w:r w:rsidRPr="00B20C11">
        <w:rPr>
          <w:rFonts w:ascii="Times New Roman" w:eastAsia="Times New Roman" w:hAnsi="Times New Roman" w:cs="Times New Roman"/>
          <w:sz w:val="24"/>
          <w:szCs w:val="24"/>
        </w:rPr>
        <w:t>, paper 3, pp. 1–13. doi:10.1145/3290605.3300233.</w:t>
      </w:r>
    </w:p>
    <w:p w14:paraId="69E01863"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Bergmann, P., Fauser, M., Sattlegger, D. and Steger, C. (2019) ‘MVTec AD—A comprehensive real-world dataset for unsupervised anomaly detection’, </w:t>
      </w:r>
      <w:r w:rsidRPr="00B20C11">
        <w:rPr>
          <w:rFonts w:ascii="Times New Roman" w:eastAsia="Times New Roman" w:hAnsi="Times New Roman" w:cs="Times New Roman"/>
          <w:i/>
          <w:iCs/>
          <w:sz w:val="24"/>
          <w:szCs w:val="24"/>
        </w:rPr>
        <w:t>Proceedings of the IEEE/CVF Conference on Computer Vision and Pattern Recognition</w:t>
      </w:r>
      <w:r w:rsidRPr="00B20C11">
        <w:rPr>
          <w:rFonts w:ascii="Times New Roman" w:eastAsia="Times New Roman" w:hAnsi="Times New Roman" w:cs="Times New Roman"/>
          <w:sz w:val="24"/>
          <w:szCs w:val="24"/>
        </w:rPr>
        <w:t>, pp. 9592–9600. doi:10.1109/CVPR.2019.00982.</w:t>
      </w:r>
    </w:p>
    <w:p w14:paraId="5514721B"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Defard, T., Setkov, A., Loesch, A. and Audigier, R. (2021) ‘PaDiM: A patch distribution modelling framework for anomaly detection and localisation’, in Del Bimbo, A. </w:t>
      </w:r>
      <w:r w:rsidRPr="00B20C11">
        <w:rPr>
          <w:rFonts w:ascii="Times New Roman" w:eastAsia="Times New Roman" w:hAnsi="Times New Roman" w:cs="Times New Roman"/>
          <w:i/>
          <w:iCs/>
          <w:sz w:val="24"/>
          <w:szCs w:val="24"/>
        </w:rPr>
        <w:t>et al.</w:t>
      </w:r>
      <w:r w:rsidRPr="00B20C11">
        <w:rPr>
          <w:rFonts w:ascii="Times New Roman" w:eastAsia="Times New Roman" w:hAnsi="Times New Roman" w:cs="Times New Roman"/>
          <w:sz w:val="24"/>
          <w:szCs w:val="24"/>
        </w:rPr>
        <w:t xml:space="preserve"> (eds.) </w:t>
      </w:r>
      <w:r w:rsidRPr="00B20C11">
        <w:rPr>
          <w:rFonts w:ascii="Times New Roman" w:eastAsia="Times New Roman" w:hAnsi="Times New Roman" w:cs="Times New Roman"/>
          <w:i/>
          <w:iCs/>
          <w:sz w:val="24"/>
          <w:szCs w:val="24"/>
        </w:rPr>
        <w:t>Pattern Recognition: ICPR International Workshops and Challenges</w:t>
      </w:r>
      <w:r w:rsidRPr="00B20C11">
        <w:rPr>
          <w:rFonts w:ascii="Times New Roman" w:eastAsia="Times New Roman" w:hAnsi="Times New Roman" w:cs="Times New Roman"/>
          <w:sz w:val="24"/>
          <w:szCs w:val="24"/>
        </w:rPr>
        <w:t>. Cham: Springer, pp. 475–489. doi:10.1007/978-3-030-68799-1_35.</w:t>
      </w:r>
    </w:p>
    <w:p w14:paraId="0C6A59C4"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Dice, L.R. (1945) ‘Measures of the amount of ecologic association between species’, </w:t>
      </w:r>
      <w:r w:rsidRPr="00B20C11">
        <w:rPr>
          <w:rFonts w:ascii="Times New Roman" w:eastAsia="Times New Roman" w:hAnsi="Times New Roman" w:cs="Times New Roman"/>
          <w:i/>
          <w:iCs/>
          <w:sz w:val="24"/>
          <w:szCs w:val="24"/>
        </w:rPr>
        <w:t>Ecology</w:t>
      </w:r>
      <w:r w:rsidRPr="00B20C11">
        <w:rPr>
          <w:rFonts w:ascii="Times New Roman" w:eastAsia="Times New Roman" w:hAnsi="Times New Roman" w:cs="Times New Roman"/>
          <w:sz w:val="24"/>
          <w:szCs w:val="24"/>
        </w:rPr>
        <w:t>, 26(3), pp. 297–302. doi:10.2307/1932409.</w:t>
      </w:r>
    </w:p>
    <w:p w14:paraId="67027384"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Fawcett, T. (2006) ‘An introduction to ROC analysis’, </w:t>
      </w:r>
      <w:r w:rsidRPr="00B20C11">
        <w:rPr>
          <w:rFonts w:ascii="Times New Roman" w:eastAsia="Times New Roman" w:hAnsi="Times New Roman" w:cs="Times New Roman"/>
          <w:i/>
          <w:iCs/>
          <w:sz w:val="24"/>
          <w:szCs w:val="24"/>
        </w:rPr>
        <w:t>Pattern Recognition Letters</w:t>
      </w:r>
      <w:r w:rsidRPr="00B20C11">
        <w:rPr>
          <w:rFonts w:ascii="Times New Roman" w:eastAsia="Times New Roman" w:hAnsi="Times New Roman" w:cs="Times New Roman"/>
          <w:sz w:val="24"/>
          <w:szCs w:val="24"/>
        </w:rPr>
        <w:t>, 27(8), pp. 861–874. doi:10.1016/j.patrec.2005.10.010.</w:t>
      </w:r>
    </w:p>
    <w:p w14:paraId="64167B73"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He, K., Zhang, X., Ren, S. and Sun, J. (2016) ‘Deep residual learning for image recognition’, </w:t>
      </w:r>
      <w:r w:rsidRPr="00B20C11">
        <w:rPr>
          <w:rFonts w:ascii="Times New Roman" w:eastAsia="Times New Roman" w:hAnsi="Times New Roman" w:cs="Times New Roman"/>
          <w:i/>
          <w:iCs/>
          <w:sz w:val="24"/>
          <w:szCs w:val="24"/>
        </w:rPr>
        <w:t>Proceedings of the IEEE Conference on Computer Vision and Pattern Recognition</w:t>
      </w:r>
      <w:r w:rsidRPr="00B20C11">
        <w:rPr>
          <w:rFonts w:ascii="Times New Roman" w:eastAsia="Times New Roman" w:hAnsi="Times New Roman" w:cs="Times New Roman"/>
          <w:sz w:val="24"/>
          <w:szCs w:val="24"/>
        </w:rPr>
        <w:t>, pp. 770–778. doi:10.1109/CVPR.2016.90.</w:t>
      </w:r>
    </w:p>
    <w:p w14:paraId="4D8AC537"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International Electrotechnical Commission (2018) </w:t>
      </w:r>
      <w:r w:rsidRPr="00B20C11">
        <w:rPr>
          <w:rFonts w:ascii="Times New Roman" w:eastAsia="Times New Roman" w:hAnsi="Times New Roman" w:cs="Times New Roman"/>
          <w:i/>
          <w:iCs/>
          <w:sz w:val="24"/>
          <w:szCs w:val="24"/>
        </w:rPr>
        <w:t>IEC 60812:2018 Failure modes and effects analysis (FMEA and FMECA)</w:t>
      </w:r>
      <w:r w:rsidRPr="00B20C11">
        <w:rPr>
          <w:rFonts w:ascii="Times New Roman" w:eastAsia="Times New Roman" w:hAnsi="Times New Roman" w:cs="Times New Roman"/>
          <w:sz w:val="24"/>
          <w:szCs w:val="24"/>
        </w:rPr>
        <w:t>. Geneva: International Electrotechnical Commission.</w:t>
      </w:r>
    </w:p>
    <w:p w14:paraId="5FBCB209" w14:textId="77777777" w:rsidR="00E917C5" w:rsidRPr="00B20C11" w:rsidRDefault="00E917C5" w:rsidP="00E917C5">
      <w:pPr>
        <w:spacing w:before="100" w:beforeAutospacing="1" w:after="100" w:afterAutospacing="1" w:line="240" w:lineRule="auto"/>
        <w:rPr>
          <w:rFonts w:ascii="Times New Roman" w:eastAsia="Times New Roman" w:hAnsi="Times New Roman" w:cs="Times New Roman"/>
          <w:sz w:val="24"/>
          <w:szCs w:val="24"/>
        </w:rPr>
      </w:pPr>
      <w:r w:rsidRPr="00B20C11">
        <w:rPr>
          <w:rFonts w:ascii="Times New Roman" w:eastAsia="Times New Roman" w:hAnsi="Times New Roman" w:cs="Times New Roman"/>
          <w:sz w:val="24"/>
          <w:szCs w:val="24"/>
        </w:rPr>
        <w:t xml:space="preserve">Roth, K., Pemula, L., Zepeda, J., Schölkopf, B., Brox, T. and Gehler, P. (2022) ‘Towards total recall in industrial anomaly detection’, </w:t>
      </w:r>
      <w:r w:rsidRPr="00B20C11">
        <w:rPr>
          <w:rFonts w:ascii="Times New Roman" w:eastAsia="Times New Roman" w:hAnsi="Times New Roman" w:cs="Times New Roman"/>
          <w:i/>
          <w:iCs/>
          <w:sz w:val="24"/>
          <w:szCs w:val="24"/>
        </w:rPr>
        <w:t>Proceedings of the IEEE/CVF Conference on Computer Vision and Pattern Recognition</w:t>
      </w:r>
      <w:r w:rsidRPr="00B20C11">
        <w:rPr>
          <w:rFonts w:ascii="Times New Roman" w:eastAsia="Times New Roman" w:hAnsi="Times New Roman" w:cs="Times New Roman"/>
          <w:sz w:val="24"/>
          <w:szCs w:val="24"/>
        </w:rPr>
        <w:t>, pp. 14318–14328. doi:10.1109/CVPR52688.2022.01392.</w:t>
      </w:r>
    </w:p>
    <w:p w14:paraId="6238FFC7" w14:textId="7ACD13AF" w:rsidR="000C15F2" w:rsidRPr="00E917C5" w:rsidRDefault="000C15F2" w:rsidP="00E917C5"/>
    <w:sectPr w:rsidR="000C15F2" w:rsidRPr="00E91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82B71"/>
    <w:multiLevelType w:val="multilevel"/>
    <w:tmpl w:val="98C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00F34"/>
    <w:multiLevelType w:val="multilevel"/>
    <w:tmpl w:val="EF7A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04029"/>
    <w:multiLevelType w:val="multilevel"/>
    <w:tmpl w:val="2E00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93F07"/>
    <w:multiLevelType w:val="multilevel"/>
    <w:tmpl w:val="5EEC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15C1E"/>
    <w:multiLevelType w:val="multilevel"/>
    <w:tmpl w:val="66C29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1765AF"/>
    <w:multiLevelType w:val="multilevel"/>
    <w:tmpl w:val="8984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B350C"/>
    <w:multiLevelType w:val="multilevel"/>
    <w:tmpl w:val="98C6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92201"/>
    <w:multiLevelType w:val="multilevel"/>
    <w:tmpl w:val="63EE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324D36"/>
    <w:multiLevelType w:val="multilevel"/>
    <w:tmpl w:val="9BD2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5A1036"/>
    <w:multiLevelType w:val="multilevel"/>
    <w:tmpl w:val="1BF6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0E5720"/>
    <w:multiLevelType w:val="multilevel"/>
    <w:tmpl w:val="771E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291383"/>
    <w:multiLevelType w:val="multilevel"/>
    <w:tmpl w:val="86D4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DC1B19"/>
    <w:multiLevelType w:val="multilevel"/>
    <w:tmpl w:val="AA04F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9"/>
  </w:num>
  <w:num w:numId="3">
    <w:abstractNumId w:val="11"/>
  </w:num>
  <w:num w:numId="4">
    <w:abstractNumId w:val="2"/>
  </w:num>
  <w:num w:numId="5">
    <w:abstractNumId w:val="5"/>
  </w:num>
  <w:num w:numId="6">
    <w:abstractNumId w:val="0"/>
  </w:num>
  <w:num w:numId="7">
    <w:abstractNumId w:val="8"/>
  </w:num>
  <w:num w:numId="8">
    <w:abstractNumId w:val="1"/>
  </w:num>
  <w:num w:numId="9">
    <w:abstractNumId w:val="7"/>
  </w:num>
  <w:num w:numId="10">
    <w:abstractNumId w:val="6"/>
  </w:num>
  <w:num w:numId="11">
    <w:abstractNumId w:val="3"/>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C30"/>
    <w:rsid w:val="000C15F2"/>
    <w:rsid w:val="0018372D"/>
    <w:rsid w:val="00381612"/>
    <w:rsid w:val="00472E54"/>
    <w:rsid w:val="004B3F3B"/>
    <w:rsid w:val="005A697E"/>
    <w:rsid w:val="008E4C30"/>
    <w:rsid w:val="00B45411"/>
    <w:rsid w:val="00C73569"/>
    <w:rsid w:val="00E91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F9AB0"/>
  <w15:docId w15:val="{71ADD41C-710B-4AE9-AE56-6E82766F0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7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4C30"/>
    <w:rPr>
      <w:color w:val="808080"/>
    </w:rPr>
  </w:style>
  <w:style w:type="paragraph" w:styleId="NormalWeb">
    <w:name w:val="Normal (Web)"/>
    <w:basedOn w:val="Normal"/>
    <w:uiPriority w:val="99"/>
    <w:unhideWhenUsed/>
    <w:rsid w:val="00E917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list-s">
    <w:name w:val="vlist-s"/>
    <w:basedOn w:val="DefaultParagraphFont"/>
    <w:rsid w:val="00E91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17</Pages>
  <Words>5494</Words>
  <Characters>31322</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Asemota</dc:creator>
  <cp:keywords/>
  <dc:description/>
  <cp:lastModifiedBy>Jesse Asemota</cp:lastModifiedBy>
  <cp:revision>1</cp:revision>
  <dcterms:created xsi:type="dcterms:W3CDTF">2026-06-23T16:41:00Z</dcterms:created>
  <dcterms:modified xsi:type="dcterms:W3CDTF">2026-06-24T11:46:00Z</dcterms:modified>
</cp:coreProperties>
</file>