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rPr>
          <w:rFonts w:ascii="Georgia" w:hAnsi="Georgia"/>
          <w:b/>
          <w:color w:val="144B60"/>
          <w:sz w:val="52"/>
        </w:rPr>
        <w:t>PRUEBA DE DESEMPEÑO</w:t>
      </w:r>
    </w:p>
    <w:p>
      <w:pPr>
        <w:spacing w:after="80"/>
        <w:jc w:val="center"/>
      </w:pPr>
      <w:r>
        <w:rPr>
          <w:rFonts w:ascii="Georgia" w:hAnsi="Georgia"/>
          <w:b/>
          <w:color w:val="144B60"/>
          <w:sz w:val="32"/>
        </w:rPr>
        <w:t>Plataforma de datos en AWS con Airflow, procesamiento incremental y analítica</w:t>
      </w:r>
    </w:p>
    <w:p>
      <w:pPr>
        <w:spacing w:after="280"/>
        <w:jc w:val="center"/>
      </w:pPr>
      <w:r>
        <w:rPr>
          <w:rFonts w:ascii="Georgia" w:hAnsi="Georgia"/>
          <w:b/>
          <w:color w:val="4186BE"/>
          <w:sz w:val="26"/>
        </w:rPr>
        <w:t>Caso: Mercado Nube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5"/>
          </w:tcPr>
          <w:p>
            <w:r>
              <w:rPr>
                <w:rFonts w:ascii="Georgia" w:hAnsi="Georgia"/>
                <w:sz w:val="17"/>
              </w:rPr>
              <w:t>Objetivo: diseñar y construir una solución reproducible que ingiera datos operacionales, los procese con controles de calidad y los publique en un almacén analítico en AWS. Se evaluará tanto el funcionamiento como las decisiones, la seguridad y la capacidad de recuperación.</w:t>
            </w:r>
          </w:p>
        </w:tc>
      </w:tr>
    </w:tbl>
    <w:p>
      <w:pPr>
        <w:pStyle w:val="Heading1"/>
      </w:pPr>
      <w:r>
        <w:rPr>
          <w:rFonts w:ascii="Georgia" w:hAnsi="Georgia"/>
          <w:b/>
          <w:color w:val="144B60"/>
        </w:rPr>
        <w:t>1. Contexto del negocio</w:t>
      </w:r>
    </w:p>
    <w:p>
      <w:r>
        <w:rPr>
          <w:rFonts w:ascii="Georgia" w:hAnsi="Georgia"/>
        </w:rPr>
        <w:t>Mercado Nube es una empresa de comercio electrónico que opera en Colombia, México y Perú. Recibe pedidos desde su tienda web y desde comercios aliados. El crecimiento acelerado dejó la información repartida entre archivos CSV, una API de catálogo y eventos de cambios de pedidos. Los cierres financieros requieren consolidación manual y los equipos no pueden explicar oportunamente devoluciones, retrasos ni diferencias entre países.</w:t>
      </w:r>
    </w:p>
    <w:p>
      <w:r>
        <w:rPr>
          <w:rFonts w:ascii="Georgia" w:hAnsi="Georgia"/>
        </w:rPr>
        <w:t>La compañía aprobó una primera plataforma analítica en AWS. Te corresponde entregar un MVP que procese la historia inicial y luego admita cargas diarias incrementales. La solución debe poder levantarse y probarse con una cuenta AWS de laboratorio o, cuando no haya credenciales disponibles, mediante un modo local claramente documentado que conserve los mismos contratos de datos.</w:t>
      </w:r>
    </w:p>
    <w:p>
      <w:pPr>
        <w:pStyle w:val="Heading1"/>
      </w:pPr>
      <w:r>
        <w:rPr>
          <w:rFonts w:ascii="Georgia" w:hAnsi="Georgia"/>
          <w:b/>
          <w:color w:val="144B60"/>
        </w:rPr>
        <w:t>2. Objetivo y alcance</w:t>
      </w:r>
    </w:p>
    <w:p>
      <w:r>
        <w:rPr>
          <w:rFonts w:ascii="Georgia" w:hAnsi="Georgia"/>
        </w:rPr>
        <w:t>Construye una canalización de extremo a extremo con almacenamiento en Amazon S3, orquestación con Apache Airflow, transformaciones reproducibles y publicación en Amazon Redshift. Puedes elegir Glue, ECS/Fargate, Lambda o procesamiento local para ejecutar transformaciones; debes justificar la elección por volumen, costo y operación. Incluye IaC con Terraform o AWS CDK.</w:t>
      </w:r>
    </w:p>
    <w:p>
      <w:pPr>
        <w:pStyle w:val="ListBullet"/>
      </w:pPr>
      <w:r>
        <w:rPr>
          <w:rFonts w:ascii="Georgia" w:hAnsi="Georgia"/>
        </w:rPr>
        <w:t>Ingerir al menos dos fuentes con formatos y ritmos distintos.</w:t>
      </w:r>
    </w:p>
    <w:p>
      <w:pPr>
        <w:pStyle w:val="ListBullet"/>
      </w:pPr>
      <w:r>
        <w:rPr>
          <w:rFonts w:ascii="Georgia" w:hAnsi="Georgia"/>
        </w:rPr>
        <w:t>Mantener capas raw, cleaned y curated en S3, con particionado y formatos apropiados.</w:t>
      </w:r>
    </w:p>
    <w:p>
      <w:pPr>
        <w:pStyle w:val="ListBullet"/>
      </w:pPr>
      <w:r>
        <w:rPr>
          <w:rFonts w:ascii="Georgia" w:hAnsi="Georgia"/>
        </w:rPr>
        <w:t>Aplicar cargas incrementales, deduplicación, reglas de calidad y trazabilidad de rechazos.</w:t>
      </w:r>
    </w:p>
    <w:p>
      <w:pPr>
        <w:pStyle w:val="ListBullet"/>
      </w:pPr>
      <w:r>
        <w:rPr>
          <w:rFonts w:ascii="Georgia" w:hAnsi="Georgia"/>
        </w:rPr>
        <w:t>Publicar un modelo analítico consultable y demostrar que una reejecución no duplica resultados.</w:t>
      </w:r>
    </w:p>
    <w:p>
      <w:pPr>
        <w:pStyle w:val="ListBullet"/>
      </w:pPr>
      <w:r>
        <w:rPr>
          <w:rFonts w:ascii="Georgia" w:hAnsi="Georgia"/>
        </w:rPr>
        <w:t>Desplegar infraestructura con permisos mínimos, configuración externa y procedimiento de limpieza de recursos.</w:t>
      </w:r>
    </w:p>
    <w:p>
      <w:pPr>
        <w:pStyle w:val="Heading1"/>
      </w:pPr>
      <w:r>
        <w:rPr>
          <w:rFonts w:ascii="Georgia" w:hAnsi="Georgia"/>
          <w:b/>
          <w:color w:val="144B60"/>
        </w:rPr>
        <w:t>3. Fuentes de datos y supuestos</w:t>
      </w:r>
    </w:p>
    <w:p>
      <w:pPr>
        <w:pStyle w:val="Heading2"/>
      </w:pPr>
      <w:r>
        <w:rPr>
          <w:rFonts w:ascii="Georgia" w:hAnsi="Georgia"/>
          <w:b/>
          <w:color w:val="144B60"/>
        </w:rPr>
        <w:t>3.1 Archivo histórico de pedidos</w:t>
      </w:r>
    </w:p>
    <w:p>
      <w:r>
        <w:rPr>
          <w:rFonts w:ascii="Georgia" w:hAnsi="Georgia"/>
        </w:rPr>
        <w:t>Usa el dataset Online Retail II de Kaggle: https://www.kaggle.com/datasets/thedevastator/online-retail-transaction-dataset. El archivo contiene líneas de factura, identificadores de producto y cliente, fechas, cantidades, precio y país. Documenta el subconjunto que uses y su licencia/origen. Debes contemplar facturas canceladas, cantidades negativas, valores nulos y registros repetidos.</w:t>
      </w:r>
    </w:p>
    <w:p>
      <w:pPr>
        <w:pStyle w:val="Heading2"/>
      </w:pPr>
      <w:r>
        <w:rPr>
          <w:rFonts w:ascii="Georgia" w:hAnsi="Georgia"/>
          <w:b/>
          <w:color w:val="144B60"/>
        </w:rPr>
        <w:t>3.2 Eventos diarios de pedidos</w:t>
      </w:r>
    </w:p>
    <w:p>
      <w:r>
        <w:rPr>
          <w:rFonts w:ascii="Georgia" w:hAnsi="Georgia"/>
        </w:rPr>
        <w:t>Genera un conjunto reproducible de eventos JSONL (mínimo 50.000 registros sintéticos) que represente cambios de estado de pedidos recibidos durante varios días. Cada evento debe tener event_id, order_id, event_type, event_time, country, currency y payload. Incluye eventos fuera de orden, reintentos duplicados, cambios tardíos y al menos tres tipos de evento, como created, paid, cancelled y refunded. Incluye un generador con semilla fija.</w:t>
      </w:r>
    </w:p>
    <w:p>
      <w:pPr>
        <w:pStyle w:val="Heading2"/>
      </w:pPr>
      <w:r>
        <w:rPr>
          <w:rFonts w:ascii="Georgia" w:hAnsi="Georgia"/>
          <w:b/>
          <w:color w:val="144B60"/>
        </w:rPr>
        <w:t>3.3 API de catálogo</w:t>
      </w:r>
    </w:p>
    <w:p>
      <w:r>
        <w:rPr>
          <w:rFonts w:ascii="Georgia" w:hAnsi="Georgia"/>
        </w:rPr>
        <w:t>Implementa un servicio pequeño o un mock versionado que entregue productos paginados con SKU, nombre, categoría, vigencia y updated_at. Debe simular paginación, límites de tasa y errores transitorios. El pipeline debe reintentar con espera incremental y registrar la versión o fecha de extracción del catálogo.</w:t>
      </w:r>
    </w:p>
    <w:p>
      <w:pPr>
        <w:pStyle w:val="Heading1"/>
      </w:pPr>
      <w:r>
        <w:rPr>
          <w:rFonts w:ascii="Georgia" w:hAnsi="Georgia"/>
          <w:b/>
          <w:color w:val="144B60"/>
        </w:rPr>
        <w:t>4. Arquitectura AWS requerida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23B5D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997"/>
            <w:shd w:fill="123B5D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FFFFFF"/>
                <w:sz w:val="17"/>
              </w:rPr>
              <w:t>Requisito mínimo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Amazon S3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Buckets o prefijos separados por ambiente y capas raw/cleaned/curated; cifrado; particionado por fecha y fuente; política de ciclo de vida propuesta.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IAM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Roles separados para despliegue y ejecución; permisos mínimos sobre buckets, logs y destino; no guardar access keys en código ni en imágenes.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Orquestación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Airflow con DAG diario y carga histórica bajo demanda. Puede ejecutarse localmente con Docker para el MVP; describe cómo correría en MWAA o alternativa administrada.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Procesamiento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Glue/Spark, ECS/Fargate, Lambda o contenedor local. Define límites, idempotencia, configuración y estrategia de errores.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Destino analítico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Amazon Redshift Serverless o PostgreSQL local como modo de demostración. Explica el camino de promoción a Redshift y entrega SQL ejecutable.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Observabilidad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CloudWatch Logs y métricas; alarmas o criterios de alerta para fallos, retraso de datos y aumento de rechazos.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Infraestructura como código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Terraform o CDK para recursos esenciales. Debe poder desplegarse y destruirse con instrucciones claras; no se exige crear recursos fuera de una cuenta autorizada.</w:t>
            </w:r>
          </w:p>
        </w:tc>
      </w:tr>
    </w:tbl>
    <w:p>
      <w:r>
        <w:rPr>
          <w:rFonts w:ascii="Georgia" w:hAnsi="Georgia"/>
        </w:rPr>
        <w:t>Diagrama la arquitectura y señala dónde se almacenan los datos, cómo circulan las credenciales y qué componentes tienen acceso a cada recurso.</w:t>
      </w:r>
    </w:p>
    <w:p>
      <w:pPr>
        <w:pStyle w:val="Heading1"/>
      </w:pPr>
      <w:r>
        <w:rPr>
          <w:rFonts w:ascii="Georgia" w:hAnsi="Georgia"/>
          <w:b/>
          <w:color w:val="144B60"/>
        </w:rPr>
        <w:t>5. Reglas de negocio y calidad</w:t>
      </w:r>
    </w:p>
    <w:p>
      <w:pPr>
        <w:pStyle w:val="ListBullet"/>
      </w:pPr>
      <w:r>
        <w:rPr>
          <w:rFonts w:ascii="Georgia" w:hAnsi="Georgia"/>
        </w:rPr>
        <w:t>Todas las marcas de tiempo se almacenan en UTC; conserva también el valor original cuando sea necesario para auditoría.</w:t>
      </w:r>
    </w:p>
    <w:p>
      <w:pPr>
        <w:pStyle w:val="ListBullet"/>
      </w:pPr>
      <w:r>
        <w:rPr>
          <w:rFonts w:ascii="Georgia" w:hAnsi="Georgia"/>
        </w:rPr>
        <w:t>Normaliza SKU y códigos de país antes de relacionar fuentes. No conviertas silenciosamente valores inválidos en datos válidos.</w:t>
      </w:r>
    </w:p>
    <w:p>
      <w:pPr>
        <w:pStyle w:val="ListBullet"/>
      </w:pPr>
      <w:r>
        <w:rPr>
          <w:rFonts w:ascii="Georgia" w:hAnsi="Georgia"/>
        </w:rPr>
        <w:t>Las cantidades menores o iguales a cero y los eventos de cancelación/devolución deben distinguirse de las ventas. Define métricas brutas y netas evitando contar dos veces una devolución.</w:t>
      </w:r>
    </w:p>
    <w:p>
      <w:pPr>
        <w:pStyle w:val="ListBullet"/>
      </w:pPr>
      <w:r>
        <w:rPr>
          <w:rFonts w:ascii="Georgia" w:hAnsi="Georgia"/>
        </w:rPr>
        <w:t>Un pedido puede cambiar varias veces. El estado actual debe derivarse con una regla explícita de orden temporal y desempate; los eventos tardíos deben poder reprocesarse.</w:t>
      </w:r>
    </w:p>
    <w:p>
      <w:pPr>
        <w:pStyle w:val="ListBullet"/>
      </w:pPr>
      <w:r>
        <w:rPr>
          <w:rFonts w:ascii="Georgia" w:hAnsi="Georgia"/>
        </w:rPr>
        <w:t>La deduplicación debe ser determinista. Define una clave de evento y explica cómo manejas IDs repetidos con contenido distinto.</w:t>
      </w:r>
    </w:p>
    <w:p>
      <w:pPr>
        <w:pStyle w:val="ListBullet"/>
      </w:pPr>
      <w:r>
        <w:rPr>
          <w:rFonts w:ascii="Georgia" w:hAnsi="Georgia"/>
        </w:rPr>
        <w:t>Los errores de esquema, fechas inválidas, precio no positivo en ventas y SKU ausente se registran en una tabla o archivo de cuarentena con fuente, identificador, motivo y fecha de procesamiento.</w:t>
      </w:r>
    </w:p>
    <w:p>
      <w:pPr>
        <w:pStyle w:val="ListBullet"/>
      </w:pPr>
      <w:r>
        <w:rPr>
          <w:rFonts w:ascii="Georgia" w:hAnsi="Georgia"/>
        </w:rPr>
        <w:t>Los registros sin identificador de cliente no deben impedir la carga. Explica cómo se contabilizan sin inventar una identidad real.</w:t>
      </w:r>
    </w:p>
    <w:p>
      <w:pPr>
        <w:pStyle w:val="ListBullet"/>
      </w:pPr>
      <w:r>
        <w:rPr>
          <w:rFonts w:ascii="Georgia" w:hAnsi="Georgia"/>
        </w:rPr>
        <w:t>Las monedas deben convertirse a una moneda de reporte usando una tabla de tasas con fecha efectiva. Si no dispones de datos de tasas, proporciona una tabla semilla demostrativa y marca claramente que no es una cotización real.</w:t>
      </w:r>
    </w:p>
    <w:p>
      <w:pPr>
        <w:pStyle w:val="ListBullet"/>
      </w:pPr>
      <w:r>
        <w:rPr>
          <w:rFonts w:ascii="Georgia" w:hAnsi="Georgia"/>
        </w:rPr>
        <w:t>Una repetición de la misma ejecución debe producir el mismo estado final en el destino. Incluye una estrategia para cargas parciales y reintentos.</w:t>
      </w:r>
    </w:p>
    <w:p>
      <w:pPr>
        <w:pStyle w:val="Heading1"/>
      </w:pPr>
      <w:r>
        <w:rPr>
          <w:rFonts w:ascii="Georgia" w:hAnsi="Georgia"/>
          <w:b/>
          <w:color w:val="144B60"/>
        </w:rPr>
        <w:t>6. Modelo analítico esperado</w:t>
      </w:r>
    </w:p>
    <w:p>
      <w:r>
        <w:rPr>
          <w:rFonts w:ascii="Georgia" w:hAnsi="Georgia"/>
        </w:rPr>
        <w:t>Diseña un esquema dimensional o una alternativa justificada. Como mínimo, permite consultar pedidos, líneas de pedido, eventos, productos, países/monedas y fechas. Conserva claves de origen y columnas de auditoría: source, batch_id, ingested_at y record_hash o equivalente.</w:t>
      </w:r>
    </w:p>
    <w:p>
      <w:r>
        <w:rPr>
          <w:rFonts w:ascii="Georgia" w:hAnsi="Georgia"/>
        </w:rPr>
        <w:t>Define granularidad para cada tabla y la regla temporal para atributos de producto que cambian. Incluye DDL, claves, índices o sort/distribution keys cuando apliquen, estrategia de upsert y tratamiento de borrados o correcciones.</w:t>
      </w:r>
    </w:p>
    <w:p>
      <w:pPr>
        <w:pStyle w:val="Heading1"/>
      </w:pPr>
      <w:r>
        <w:rPr>
          <w:rFonts w:ascii="Georgia" w:hAnsi="Georgia"/>
          <w:b/>
          <w:color w:val="144B60"/>
        </w:rPr>
        <w:t>7. DAG y operación</w:t>
      </w:r>
    </w:p>
    <w:p>
      <w:pPr>
        <w:pStyle w:val="ListBullet"/>
      </w:pPr>
      <w:r>
        <w:rPr>
          <w:rFonts w:ascii="Georgia" w:hAnsi="Georgia"/>
        </w:rPr>
        <w:t>Separar extracción histórica, ingestión diaria, validación, transformación y publicación en tareas observables.</w:t>
      </w:r>
    </w:p>
    <w:p>
      <w:pPr>
        <w:pStyle w:val="ListBullet"/>
      </w:pPr>
      <w:r>
        <w:rPr>
          <w:rFonts w:ascii="Georgia" w:hAnsi="Georgia"/>
        </w:rPr>
        <w:t>Configurar retries con backoff, timeout, límites de concurrencia y manejo de dependencias entre tareas.</w:t>
      </w:r>
    </w:p>
    <w:p>
      <w:pPr>
        <w:pStyle w:val="ListBullet"/>
      </w:pPr>
      <w:r>
        <w:rPr>
          <w:rFonts w:ascii="Georgia" w:hAnsi="Georgia"/>
        </w:rPr>
        <w:t>Permitir ejecutar una fecha o intervalo histórico sin editar código.</w:t>
      </w:r>
    </w:p>
    <w:p>
      <w:pPr>
        <w:pStyle w:val="ListBullet"/>
      </w:pPr>
      <w:r>
        <w:rPr>
          <w:rFonts w:ascii="Georgia" w:hAnsi="Georgia"/>
        </w:rPr>
        <w:t>Usar variables/configuración para parámetros operativos y un mecanismo seguro para credenciales. No incluir secretos en Airflow Variables, logs, repositorio ni .env versionado.</w:t>
      </w:r>
    </w:p>
    <w:p>
      <w:pPr>
        <w:pStyle w:val="ListBullet"/>
      </w:pPr>
      <w:r>
        <w:rPr>
          <w:rFonts w:ascii="Georgia" w:hAnsi="Georgia"/>
        </w:rPr>
        <w:t>Registrar métricas por lote: filas leídas, válidas, rechazadas, duplicadas, atrasadas y publicadas.</w:t>
      </w:r>
    </w:p>
    <w:p>
      <w:pPr>
        <w:pStyle w:val="ListBullet"/>
      </w:pPr>
      <w:r>
        <w:rPr>
          <w:rFonts w:ascii="Georgia" w:hAnsi="Georgia"/>
        </w:rPr>
        <w:t>Implementar backfill/replay y documentar qué pasa si el proceso falla después de escribir en S3 pero antes de actualizar el destino.</w:t>
      </w:r>
    </w:p>
    <w:p>
      <w:pPr>
        <w:pStyle w:val="ListBullet"/>
      </w:pPr>
      <w:r>
        <w:rPr>
          <w:rFonts w:ascii="Georgia" w:hAnsi="Georgia"/>
        </w:rPr>
        <w:t>Añadir una tarea de comprobación final que falle si se incumplen umbrales definidos de calidad o frescura.</w:t>
      </w:r>
    </w:p>
    <w:p>
      <w:pPr>
        <w:pStyle w:val="Heading1"/>
      </w:pPr>
      <w:r>
        <w:rPr>
          <w:rFonts w:ascii="Georgia" w:hAnsi="Georgia"/>
          <w:b/>
          <w:color w:val="144B60"/>
        </w:rPr>
        <w:t>8. Preguntas que debe responder la solución</w:t>
      </w:r>
    </w:p>
    <w:p>
      <w:pPr>
        <w:pStyle w:val="ListNumber"/>
      </w:pPr>
      <w:r>
        <w:rPr>
          <w:rFonts w:ascii="Georgia" w:hAnsi="Georgia"/>
        </w:rPr>
        <w:t>¿Cómo evolucionan por mes las ventas brutas, devoluciones y ventas netas por país y moneda normalizada?</w:t>
      </w:r>
    </w:p>
    <w:p>
      <w:pPr>
        <w:pStyle w:val="ListNumber"/>
      </w:pPr>
      <w:r>
        <w:rPr>
          <w:rFonts w:ascii="Georgia" w:hAnsi="Georgia"/>
        </w:rPr>
        <w:t>¿Qué categorías generan más ingresos y cuáles tienen mayor proporción de devoluciones?</w:t>
      </w:r>
    </w:p>
    <w:p>
      <w:pPr>
        <w:pStyle w:val="ListNumber"/>
      </w:pPr>
      <w:r>
        <w:rPr>
          <w:rFonts w:ascii="Georgia" w:hAnsi="Georgia"/>
        </w:rPr>
        <w:t>¿Cuáles son los 10 SKU con mayor venta neta y los 10 con más devoluciones, incluyendo volumen y tasa?</w:t>
      </w:r>
    </w:p>
    <w:p>
      <w:pPr>
        <w:pStyle w:val="ListNumber"/>
      </w:pPr>
      <w:r>
        <w:rPr>
          <w:rFonts w:ascii="Georgia" w:hAnsi="Georgia"/>
        </w:rPr>
        <w:t>¿Cuánto tarda un pedido desde creación hasta pago y qué proporción termina cancelada?</w:t>
      </w:r>
    </w:p>
    <w:p>
      <w:pPr>
        <w:pStyle w:val="ListNumber"/>
      </w:pPr>
      <w:r>
        <w:rPr>
          <w:rFonts w:ascii="Georgia" w:hAnsi="Georgia"/>
        </w:rPr>
        <w:t>¿Qué proporción de eventos llega tarde más de 24 horas y cómo se reprocesa?</w:t>
      </w:r>
    </w:p>
    <w:p>
      <w:pPr>
        <w:pStyle w:val="ListNumber"/>
      </w:pPr>
      <w:r>
        <w:rPr>
          <w:rFonts w:ascii="Georgia" w:hAnsi="Georgia"/>
        </w:rPr>
        <w:t>¿Qué porcentaje de registros se rechaza por fuente y motivo? ¿Cómo cambió durante los últimos siete lotes?</w:t>
      </w:r>
    </w:p>
    <w:p>
      <w:pPr>
        <w:pStyle w:val="ListNumber"/>
      </w:pPr>
      <w:r>
        <w:rPr>
          <w:rFonts w:ascii="Georgia" w:hAnsi="Georgia"/>
        </w:rPr>
        <w:t>¿Qué productos tienen atributos de catálogo modificados durante el periodo y cómo se conserva el historial?</w:t>
      </w:r>
    </w:p>
    <w:p>
      <w:r>
        <w:rPr>
          <w:rFonts w:ascii="Georgia" w:hAnsi="Georgia"/>
        </w:rPr>
        <w:t>Entrega consultas SQL ejecutables para todas las preguntas. Incluye resultados de muestra obtenidos con tu carga, indicando cualquier limitación del dataset sintético.</w:t>
      </w:r>
    </w:p>
    <w:p>
      <w:pPr>
        <w:pStyle w:val="Heading1"/>
      </w:pPr>
      <w:r>
        <w:rPr>
          <w:rFonts w:ascii="Georgia" w:hAnsi="Georgia"/>
          <w:b/>
          <w:color w:val="144B60"/>
        </w:rPr>
        <w:t>9. Entregables</w:t>
      </w:r>
    </w:p>
    <w:p>
      <w:pPr>
        <w:pStyle w:val="ListBullet"/>
      </w:pPr>
      <w:r>
        <w:rPr>
          <w:rFonts w:ascii="Georgia" w:hAnsi="Georgia"/>
        </w:rPr>
        <w:t>Repositorio con estructura clara, código, DAG, generador de eventos, API/mock, DDL y configuración de contenedores.</w:t>
      </w:r>
    </w:p>
    <w:p>
      <w:pPr>
        <w:pStyle w:val="ListBullet"/>
      </w:pPr>
      <w:r>
        <w:rPr>
          <w:rFonts w:ascii="Georgia" w:hAnsi="Georgia"/>
        </w:rPr>
        <w:t>Infraestructura como código para el alcance definido y archivos de ejemplo sin secretos.</w:t>
      </w:r>
    </w:p>
    <w:p>
      <w:pPr>
        <w:pStyle w:val="ListBullet"/>
      </w:pPr>
      <w:r>
        <w:rPr>
          <w:rFonts w:ascii="Georgia" w:hAnsi="Georgia"/>
        </w:rPr>
        <w:t>README en español con prerrequisitos, pasos exactos, modo local, despliegue AWS, ejecución histórica/diaria, validación, costos aproximados por supuestos y limpieza.</w:t>
      </w:r>
    </w:p>
    <w:p>
      <w:pPr>
        <w:pStyle w:val="ListBullet"/>
      </w:pPr>
      <w:r>
        <w:rPr>
          <w:rFonts w:ascii="Georgia" w:hAnsi="Georgia"/>
        </w:rPr>
        <w:t>Documento de decisiones técnicas: arquitectura, alternativas descartadas, granularidad, deduplicación, late arrivals, moneda, idempotencia y seguridad.</w:t>
      </w:r>
    </w:p>
    <w:p>
      <w:pPr>
        <w:pStyle w:val="ListBullet"/>
      </w:pPr>
      <w:r>
        <w:rPr>
          <w:rFonts w:ascii="Georgia" w:hAnsi="Georgia"/>
        </w:rPr>
        <w:t>Diagrama de arquitectura y diagrama del modelo analítico.</w:t>
      </w:r>
    </w:p>
    <w:p>
      <w:pPr>
        <w:pStyle w:val="ListBullet"/>
      </w:pPr>
      <w:r>
        <w:rPr>
          <w:rFonts w:ascii="Georgia" w:hAnsi="Georgia"/>
        </w:rPr>
        <w:t>Consultas SQL y evidencia de una ejecución correcta, una reejecución idempotente y un fallo recuperado.</w:t>
      </w:r>
    </w:p>
    <w:p>
      <w:pPr>
        <w:pStyle w:val="ListBullet"/>
      </w:pPr>
      <w:r>
        <w:rPr>
          <w:rFonts w:ascii="Georgia" w:hAnsi="Georgia"/>
        </w:rPr>
        <w:t>Pruebas automatizadas para transformaciones y reglas críticas; datos semilla pequeños para correrlas sin AWS.</w:t>
      </w:r>
    </w:p>
    <w:p>
      <w:pPr>
        <w:pStyle w:val="Heading1"/>
      </w:pPr>
      <w:r>
        <w:rPr>
          <w:rFonts w:ascii="Georgia" w:hAnsi="Georgia"/>
          <w:b/>
          <w:color w:val="144B60"/>
        </w:rPr>
        <w:t>10. Evaluación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23B5D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97"/>
            <w:shd w:fill="123B5D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FFFFFF"/>
                <w:sz w:val="17"/>
              </w:rPr>
              <w:t>Puntaje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Ingestión, contratos de datos y controles de calidad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20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Transformación, modelo analítico y consultas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20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Orquestación, incrementalidad e idempotencia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20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AWS, IaC, IAM y seguridad de configuración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20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Observabilidad, recuperación y manejo de datos tardíos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10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Documentación, claridad y facilidad para reproducir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10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Total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100</w:t>
            </w:r>
          </w:p>
        </w:tc>
      </w:tr>
    </w:tbl>
    <w:p>
      <w:r>
        <w:rPr>
          <w:rFonts w:ascii="Georgia" w:hAnsi="Georgia"/>
        </w:rPr>
        <w:t>Se considera sobresaliente una solución que explica sus límites y decisiones con evidencia, evita costos innecesarios y se recupera de fallos sin producir duplicados. Una arquitectura con muchos servicios, pero sin flujo verificable, no obtiene puntaje adicional.</w:t>
      </w:r>
    </w:p>
    <w:p>
      <w:pPr>
        <w:pStyle w:val="Heading1"/>
      </w:pPr>
      <w:r>
        <w:rPr>
          <w:rFonts w:ascii="Georgia" w:hAnsi="Georgia"/>
          <w:b/>
          <w:color w:val="144B60"/>
        </w:rPr>
        <w:t>11. Criterios de aceptación</w:t>
      </w:r>
    </w:p>
    <w:p>
      <w:pPr>
        <w:pStyle w:val="ListBullet"/>
      </w:pPr>
      <w:r>
        <w:rPr>
          <w:rFonts w:ascii="Georgia" w:hAnsi="Georgia"/>
        </w:rPr>
        <w:t>Con una sola instrucción documentada se inicia el modo local y el DAG puede ejecutarse sin pasos manuales ocultos.</w:t>
      </w:r>
    </w:p>
    <w:p>
      <w:pPr>
        <w:pStyle w:val="ListBullet"/>
      </w:pPr>
      <w:r>
        <w:rPr>
          <w:rFonts w:ascii="Georgia" w:hAnsi="Georgia"/>
        </w:rPr>
        <w:t>Una carga histórica y dos lotes diarios de prueba llegan al destino con conteos reconciliables.</w:t>
      </w:r>
    </w:p>
    <w:p>
      <w:pPr>
        <w:pStyle w:val="ListBullet"/>
      </w:pPr>
      <w:r>
        <w:rPr>
          <w:rFonts w:ascii="Georgia" w:hAnsi="Georgia"/>
        </w:rPr>
        <w:t>Reejecutar el mismo lote no crea duplicados y reprocesar eventos tardíos corrige las métricas afectadas.</w:t>
      </w:r>
    </w:p>
    <w:p>
      <w:pPr>
        <w:pStyle w:val="ListBullet"/>
      </w:pPr>
      <w:r>
        <w:rPr>
          <w:rFonts w:ascii="Georgia" w:hAnsi="Georgia"/>
        </w:rPr>
        <w:t>Los datos rechazados tienen motivo rastreable y no desaparecen silenciosamente.</w:t>
      </w:r>
    </w:p>
    <w:p>
      <w:pPr>
        <w:pStyle w:val="ListBullet"/>
      </w:pPr>
      <w:r>
        <w:rPr>
          <w:rFonts w:ascii="Georgia" w:hAnsi="Georgia"/>
        </w:rPr>
        <w:t>Las consultas de negocio se ejecutan y el README permite verificar resultados en menos de 15 minutos.</w:t>
      </w:r>
    </w:p>
    <w:p>
      <w:pPr>
        <w:pStyle w:val="ListBullet"/>
      </w:pPr>
      <w:r>
        <w:rPr>
          <w:rFonts w:ascii="Georgia" w:hAnsi="Georgia"/>
        </w:rPr>
        <w:t>La configuración de AWS es parametrizable; no hay secretos reales en Git ni permisos IAM comodín injustificados.</w:t>
      </w:r>
    </w:p>
    <w:p>
      <w:pPr>
        <w:pStyle w:val="Heading1"/>
      </w:pPr>
      <w:r>
        <w:rPr>
          <w:rFonts w:ascii="Georgia" w:hAnsi="Georgia"/>
          <w:b/>
          <w:color w:val="144B60"/>
        </w:rPr>
        <w:t>Anexo. Restricciones del simulacro</w:t>
      </w:r>
    </w:p>
    <w:p>
      <w:r>
        <w:rPr>
          <w:rFonts w:ascii="Georgia" w:hAnsi="Georgia"/>
        </w:rPr>
        <w:t>No es necesario gastar dinero en recursos de AWS para demostrar la solución. Si usas AWS real, despliega únicamente en una cuenta de laboratorio autorizada, define límites de costo y destruye los recursos al terminar. El modo local debe permitir revisar la lógica principal sin depender de servicios pagos.</w:t>
      </w:r>
    </w:p>
    <w:sectPr w:rsidR="00FC693F" w:rsidRPr="0006063C" w:rsidSect="00034616">
      <w:footerReference w:type="default" r:id="rId9"/>
      <w:headerReference w:type="default" r:id="rId10"/>
      <w:headerReference w:type="even" r:id="rId11"/>
      <w:footerReference w:type="even" r:id="rId12"/>
      <w:pgSz w:w="12240" w:h="15840"/>
      <w:pgMar w:top="1152" w:right="979" w:bottom="1008" w:left="979" w:header="25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096"/>
        </w:tcPr>
        <w:p>
          <w:pPr>
            <w:jc w:val="left"/>
          </w:pPr>
          <w:r>
            <w:rPr>
              <w:rFonts w:ascii="Georgia" w:hAnsi="Georgia"/>
              <w:color w:val="B4B8BB"/>
              <w:sz w:val="15"/>
            </w:rPr>
            <w:t>Confidencial – Uso interno</w:t>
          </w:r>
        </w:p>
      </w:tc>
      <w:tc>
        <w:tcPr>
          <w:tcW w:type="dxa" w:w="4032"/>
        </w:tcPr>
        <w:p>
          <w:pPr>
            <w:jc w:val="center"/>
          </w:pPr>
          <w:r>
            <w:rPr>
              <w:rFonts w:ascii="Georgia" w:hAnsi="Georgia"/>
              <w:color w:val="B4B8BB"/>
              <w:sz w:val="15"/>
            </w:rPr>
            <w:t>Ingeniería de Datos · Cohorte 6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Georgia" w:hAnsi="Georgia"/>
              <w:color w:val="B4B8BB"/>
              <w:sz w:val="15"/>
            </w:rPr>
            <w:t xml:space="preserve">Pág. </w:t>
          </w:r>
          <w:fldSimple w:instr="PAGE"/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096"/>
        </w:tcPr>
        <w:p>
          <w:pPr>
            <w:jc w:val="left"/>
          </w:pPr>
          <w:r>
            <w:rPr>
              <w:rFonts w:ascii="Georgia" w:hAnsi="Georgia"/>
              <w:color w:val="B4B8BB"/>
              <w:sz w:val="15"/>
            </w:rPr>
            <w:t>Confidencial – Uso interno</w:t>
          </w:r>
        </w:p>
      </w:tc>
      <w:tc>
        <w:tcPr>
          <w:tcW w:type="dxa" w:w="4032"/>
        </w:tcPr>
        <w:p>
          <w:pPr>
            <w:jc w:val="center"/>
          </w:pPr>
          <w:r>
            <w:rPr>
              <w:rFonts w:ascii="Georgia" w:hAnsi="Georgia"/>
              <w:color w:val="B4B8BB"/>
              <w:sz w:val="15"/>
            </w:rPr>
            <w:t>Ingeniería de Datos · Cohorte 6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Georgia" w:hAnsi="Georgia"/>
              <w:color w:val="B4B8BB"/>
              <w:sz w:val="15"/>
            </w:rPr>
            <w:t xml:space="preserve">Pág.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5989320" cy="106319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iwi-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9320" cy="106319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eorgia" w:hAnsi="Georgia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144B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44B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44B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20"/>
      <w:contextualSpacing/>
    </w:pPr>
    <w:rPr>
      <w:rFonts w:asciiTheme="majorHAnsi" w:eastAsiaTheme="majorEastAsia" w:hAnsiTheme="majorHAnsi" w:cstheme="majorBidi" w:ascii="Georgia" w:hAnsi="Georgia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desempeño | Ingeniería de Datos | Cohorte 6</dc:title>
  <dc:subject>Pipeline de datos en AWS con Apache Airflow y analítica</dc:subject>
  <dc:creator>Riwi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