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5539" w14:textId="358E46EF" w:rsidR="00CF3040" w:rsidRPr="002F3241" w:rsidRDefault="00CF3040" w:rsidP="002F3241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De-immunized Protein Design via a Unified, Verified MHC-II Immunopeptidome Dataset</w:t>
      </w:r>
    </w:p>
    <w:p w14:paraId="1EB5EAA2" w14:textId="1DBA29AD" w:rsidR="00191E8A" w:rsidRPr="002F3241" w:rsidRDefault="00F97F77" w:rsidP="002F3241">
      <w:pPr>
        <w:pStyle w:val="a9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F3241">
        <w:rPr>
          <w:rFonts w:ascii="Times New Roman" w:hAnsi="Times New Roman" w:cs="Times New Roman"/>
          <w:b/>
          <w:bCs/>
        </w:rPr>
        <w:t>Dataset description</w:t>
      </w:r>
    </w:p>
    <w:p w14:paraId="36FCBB67" w14:textId="54BF3E86" w:rsidR="006C226D" w:rsidRPr="002F3241" w:rsidRDefault="006C226D" w:rsidP="006C226D">
      <w:pPr>
        <w:pStyle w:val="a9"/>
        <w:numPr>
          <w:ilvl w:val="1"/>
          <w:numId w:val="1"/>
        </w:num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Overview</w:t>
      </w:r>
    </w:p>
    <w:p w14:paraId="5D20ABEF" w14:textId="43BC1C1E" w:rsidR="00F97F77" w:rsidRPr="002F3241" w:rsidRDefault="006C226D" w:rsidP="006737B7">
      <w:pPr>
        <w:ind w:firstLine="42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We have assembled MHC Class II Immunopeptidome Dataset (Unified &amp; Verified), a large-scale, quality-controlled dataset consolidating experimentally observed MHC-II ligands from two major public sources</w:t>
      </w:r>
    </w:p>
    <w:p w14:paraId="7AB92786" w14:textId="5CE73ADC" w:rsidR="006C226D" w:rsidRPr="002F3241" w:rsidRDefault="006C226D" w:rsidP="006C226D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IEDB (Low Resolution): 740,383 records</w:t>
      </w:r>
    </w:p>
    <w:p w14:paraId="06864525" w14:textId="00C4E408" w:rsidR="006C226D" w:rsidRPr="002F3241" w:rsidRDefault="006C226D" w:rsidP="006C226D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IEDB (Standard Resolution): 364,025 records</w:t>
      </w:r>
    </w:p>
    <w:p w14:paraId="6022AA65" w14:textId="1C6CA88D" w:rsidR="006C226D" w:rsidRPr="002F3241" w:rsidRDefault="006C226D" w:rsidP="006C226D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HLA Ligand Atlas: 142,464 records</w:t>
      </w:r>
    </w:p>
    <w:p w14:paraId="6074D757" w14:textId="088BBA93" w:rsidR="006C226D" w:rsidRPr="002F3241" w:rsidRDefault="006C226D" w:rsidP="006C226D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Total: 1,246,872 peptide–protein records (TSV; primary file: mhc_if_v2.tsv)</w:t>
      </w:r>
    </w:p>
    <w:p w14:paraId="4922F1CB" w14:textId="552F154A" w:rsidR="00F97F77" w:rsidRPr="002F3241" w:rsidRDefault="006C226D" w:rsidP="002F3241">
      <w:pPr>
        <w:ind w:firstLine="42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Crucially, every record is cross-verified against UniProt protein sequences with 100% sequence–coordinate consistency, enabling robust mapping from peptide-level immunopeptidome evidence to full-length protein sequence positions.</w:t>
      </w:r>
    </w:p>
    <w:p w14:paraId="583FBEE7" w14:textId="37E3D5BC" w:rsidR="006C226D" w:rsidRPr="002F3241" w:rsidRDefault="006C226D" w:rsidP="006737B7">
      <w:pPr>
        <w:ind w:firstLine="42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Each row links an observed ligand peptide to its source protein and includes:</w:t>
      </w:r>
    </w:p>
    <w:p w14:paraId="26B13B9E" w14:textId="3A8B572D" w:rsidR="006C226D" w:rsidRPr="002F3241" w:rsidRDefault="006C226D" w:rsidP="006737B7">
      <w:pPr>
        <w:ind w:leftChars="200" w:left="48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Peptide sequence (</w:t>
      </w:r>
      <w:proofErr w:type="spellStart"/>
      <w:r w:rsidRPr="002F3241">
        <w:rPr>
          <w:rFonts w:ascii="Times New Roman" w:hAnsi="Times New Roman" w:cs="Times New Roman"/>
        </w:rPr>
        <w:t>peptide_seq</w:t>
      </w:r>
      <w:proofErr w:type="spellEnd"/>
      <w:r w:rsidRPr="002F3241">
        <w:rPr>
          <w:rFonts w:ascii="Times New Roman" w:hAnsi="Times New Roman" w:cs="Times New Roman"/>
        </w:rPr>
        <w:t>)</w:t>
      </w:r>
    </w:p>
    <w:p w14:paraId="21383E0D" w14:textId="0E9C36F0" w:rsidR="006C226D" w:rsidRPr="002F3241" w:rsidRDefault="006C226D" w:rsidP="006737B7">
      <w:pPr>
        <w:ind w:leftChars="200" w:left="48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MHC class fixed as Class II (</w:t>
      </w:r>
      <w:proofErr w:type="spellStart"/>
      <w:r w:rsidRPr="002F3241">
        <w:rPr>
          <w:rFonts w:ascii="Times New Roman" w:hAnsi="Times New Roman" w:cs="Times New Roman"/>
        </w:rPr>
        <w:t>hla_class</w:t>
      </w:r>
      <w:proofErr w:type="spellEnd"/>
      <w:r w:rsidRPr="002F3241">
        <w:rPr>
          <w:rFonts w:ascii="Times New Roman" w:hAnsi="Times New Roman" w:cs="Times New Roman"/>
        </w:rPr>
        <w:t xml:space="preserve"> = II)</w:t>
      </w:r>
    </w:p>
    <w:p w14:paraId="7BB6D2A4" w14:textId="19F443A5" w:rsidR="006C226D" w:rsidRPr="002F3241" w:rsidRDefault="006C226D" w:rsidP="006737B7">
      <w:pPr>
        <w:ind w:leftChars="200" w:left="48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Alleles (alleles, JSON array), with an explicit allele-resolution label (resolution) to distinguish generic/serotype/high-res single/dimer/mixed</w:t>
      </w:r>
    </w:p>
    <w:p w14:paraId="53F06225" w14:textId="4AD3DC18" w:rsidR="006C226D" w:rsidRPr="002F3241" w:rsidRDefault="006C226D" w:rsidP="006737B7">
      <w:pPr>
        <w:ind w:leftChars="200" w:left="48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Source tissue (tissues, JSON array) when available</w:t>
      </w:r>
    </w:p>
    <w:p w14:paraId="2C3F8349" w14:textId="3CAF65AD" w:rsidR="006C226D" w:rsidRPr="002F3241" w:rsidRDefault="006C226D" w:rsidP="006737B7">
      <w:pPr>
        <w:ind w:leftChars="200" w:left="48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Source protein accessions (</w:t>
      </w:r>
      <w:proofErr w:type="spellStart"/>
      <w:r w:rsidRPr="002F3241">
        <w:rPr>
          <w:rFonts w:ascii="Times New Roman" w:hAnsi="Times New Roman" w:cs="Times New Roman"/>
        </w:rPr>
        <w:t>protein_accessions</w:t>
      </w:r>
      <w:proofErr w:type="spellEnd"/>
      <w:r w:rsidRPr="002F3241">
        <w:rPr>
          <w:rFonts w:ascii="Times New Roman" w:hAnsi="Times New Roman" w:cs="Times New Roman"/>
        </w:rPr>
        <w:t>, JSON array)</w:t>
      </w:r>
    </w:p>
    <w:p w14:paraId="542E3332" w14:textId="2FDC7956" w:rsidR="006C226D" w:rsidRPr="002F3241" w:rsidRDefault="006C226D" w:rsidP="006737B7">
      <w:pPr>
        <w:ind w:leftChars="200" w:left="48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Verified positional grounding (</w:t>
      </w:r>
      <w:proofErr w:type="spellStart"/>
      <w:r w:rsidRPr="002F3241">
        <w:rPr>
          <w:rFonts w:ascii="Times New Roman" w:hAnsi="Times New Roman" w:cs="Times New Roman"/>
        </w:rPr>
        <w:t>peptide_position_info</w:t>
      </w:r>
      <w:proofErr w:type="spellEnd"/>
      <w:r w:rsidRPr="002F3241">
        <w:rPr>
          <w:rFonts w:ascii="Times New Roman" w:hAnsi="Times New Roman" w:cs="Times New Roman"/>
        </w:rPr>
        <w:t>, JSON array): 1-based start/end coordinates (IEDB convention)</w:t>
      </w:r>
    </w:p>
    <w:p w14:paraId="0D409938" w14:textId="2E7A72D8" w:rsidR="006C226D" w:rsidRDefault="006C226D" w:rsidP="00F82CEC">
      <w:pPr>
        <w:ind w:leftChars="200" w:left="48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Local context (</w:t>
      </w:r>
      <w:proofErr w:type="spellStart"/>
      <w:r w:rsidRPr="002F3241">
        <w:rPr>
          <w:rFonts w:ascii="Times New Roman" w:hAnsi="Times New Roman" w:cs="Times New Roman"/>
        </w:rPr>
        <w:t>flanking_context</w:t>
      </w:r>
      <w:proofErr w:type="spellEnd"/>
      <w:r w:rsidRPr="002F3241">
        <w:rPr>
          <w:rFonts w:ascii="Times New Roman" w:hAnsi="Times New Roman" w:cs="Times New Roman"/>
        </w:rPr>
        <w:t>, JSON array): 3-mer upstream/downstream residues around the peptide</w:t>
      </w:r>
    </w:p>
    <w:p w14:paraId="22040F4E" w14:textId="77777777" w:rsidR="00F82CEC" w:rsidRPr="002F3241" w:rsidRDefault="00F82CEC" w:rsidP="00F82CEC">
      <w:pPr>
        <w:ind w:leftChars="200" w:left="480"/>
        <w:rPr>
          <w:rFonts w:ascii="Times New Roman" w:hAnsi="Times New Roman" w:cs="Times New Roman"/>
        </w:rPr>
      </w:pPr>
    </w:p>
    <w:p w14:paraId="64A88FA7" w14:textId="155B3257" w:rsidR="006C226D" w:rsidRPr="002F3241" w:rsidRDefault="006C226D" w:rsidP="006C226D">
      <w:pPr>
        <w:pStyle w:val="a9"/>
        <w:numPr>
          <w:ilvl w:val="1"/>
          <w:numId w:val="1"/>
        </w:num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Processing, QC, and provenance</w:t>
      </w:r>
    </w:p>
    <w:p w14:paraId="16DCB2D9" w14:textId="4D126305" w:rsidR="006C226D" w:rsidRPr="002F3241" w:rsidRDefault="006C226D" w:rsidP="006737B7">
      <w:pPr>
        <w:ind w:firstLine="36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The dataset was generated via a rigorous pipeline:</w:t>
      </w:r>
    </w:p>
    <w:p w14:paraId="11937ECF" w14:textId="77777777" w:rsidR="006C226D" w:rsidRPr="002F3241" w:rsidRDefault="006C226D" w:rsidP="006C226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Coordinate extraction from raw IEDB exports</w:t>
      </w:r>
    </w:p>
    <w:p w14:paraId="3CB2113D" w14:textId="77777777" w:rsidR="006C226D" w:rsidRPr="002F3241" w:rsidRDefault="006C226D" w:rsidP="006C226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Position discovery for Atlas peptides via substring search over UniProt sequences</w:t>
      </w:r>
    </w:p>
    <w:p w14:paraId="51EB1A1F" w14:textId="77777777" w:rsidR="006C226D" w:rsidRPr="002F3241" w:rsidRDefault="006C226D" w:rsidP="006C226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Mapping all proteins to UniProt accessions and downloading &gt;16,000 full-length sequences (FASTA available)</w:t>
      </w:r>
    </w:p>
    <w:p w14:paraId="1545D522" w14:textId="77777777" w:rsidR="006C226D" w:rsidRPr="002F3241" w:rsidRDefault="006C226D" w:rsidP="006C226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Automated correction of minor coordinate shifts (~7.8k cases)</w:t>
      </w:r>
    </w:p>
    <w:p w14:paraId="60585172" w14:textId="77777777" w:rsidR="006C226D" w:rsidRPr="002F3241" w:rsidRDefault="006C226D" w:rsidP="006C226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Flank extraction directly from verified sequences</w:t>
      </w:r>
    </w:p>
    <w:p w14:paraId="0DAA5C0B" w14:textId="3B525374" w:rsidR="006C226D" w:rsidRPr="002F3241" w:rsidRDefault="006C226D" w:rsidP="006C226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A final global verification ensuring:</w:t>
      </w:r>
    </w:p>
    <w:p w14:paraId="2F62DB1E" w14:textId="5B99BD01" w:rsidR="006C226D" w:rsidRPr="002F3241" w:rsidRDefault="006C226D" w:rsidP="006C226D">
      <w:pPr>
        <w:ind w:firstLine="36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Peptide Sequence == Protein Sequence[</w:t>
      </w:r>
      <w:proofErr w:type="spellStart"/>
      <w:proofErr w:type="gramStart"/>
      <w:r w:rsidRPr="002F3241">
        <w:rPr>
          <w:rFonts w:ascii="Times New Roman" w:hAnsi="Times New Roman" w:cs="Times New Roman"/>
        </w:rPr>
        <w:t>start:end</w:t>
      </w:r>
      <w:proofErr w:type="spellEnd"/>
      <w:proofErr w:type="gramEnd"/>
      <w:r w:rsidRPr="002F3241">
        <w:rPr>
          <w:rFonts w:ascii="Times New Roman" w:hAnsi="Times New Roman" w:cs="Times New Roman"/>
        </w:rPr>
        <w:t>] for every retained record</w:t>
      </w:r>
    </w:p>
    <w:p w14:paraId="474C5781" w14:textId="17249AA4" w:rsidR="006C226D" w:rsidRPr="002F3241" w:rsidRDefault="006C226D" w:rsidP="00F97F77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Rows failing verification were removed; if a peptide occurs multiple times in a protein, all valid matches are retained.</w:t>
      </w:r>
    </w:p>
    <w:p w14:paraId="18DD30E3" w14:textId="4AAD153A" w:rsidR="006C226D" w:rsidRPr="002F3241" w:rsidRDefault="006C226D" w:rsidP="006737B7">
      <w:pPr>
        <w:ind w:firstLine="42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This yields a combination: scale + strict verification + positional context, which is essential for building reliable full-length immunogenicity models.</w:t>
      </w:r>
    </w:p>
    <w:p w14:paraId="7BD23BD4" w14:textId="77777777" w:rsidR="006C226D" w:rsidRPr="002F3241" w:rsidRDefault="006C226D" w:rsidP="00F97F77">
      <w:pPr>
        <w:rPr>
          <w:rFonts w:ascii="Times New Roman" w:hAnsi="Times New Roman" w:cs="Times New Roman"/>
        </w:rPr>
      </w:pPr>
    </w:p>
    <w:p w14:paraId="662B48F5" w14:textId="2F4749C4" w:rsidR="00F97F77" w:rsidRPr="002F3241" w:rsidRDefault="00F97F77" w:rsidP="002F3241">
      <w:pPr>
        <w:pStyle w:val="a9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F3241">
        <w:rPr>
          <w:rFonts w:ascii="Times New Roman" w:hAnsi="Times New Roman" w:cs="Times New Roman"/>
          <w:b/>
          <w:bCs/>
        </w:rPr>
        <w:t>Research objectives</w:t>
      </w:r>
    </w:p>
    <w:p w14:paraId="7DB81302" w14:textId="6BDF16DA" w:rsidR="00F97F77" w:rsidRPr="002F3241" w:rsidRDefault="006C226D" w:rsidP="00F97F77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  <w:b/>
          <w:bCs/>
        </w:rPr>
        <w:t>Motivation</w:t>
      </w:r>
    </w:p>
    <w:p w14:paraId="30BE4481" w14:textId="094D562F" w:rsidR="00F97F77" w:rsidRPr="002F3241" w:rsidRDefault="006C226D" w:rsidP="002F3241">
      <w:pPr>
        <w:ind w:firstLine="42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lastRenderedPageBreak/>
        <w:t>Current epitope/ligand predictors are typically trained and evaluated on peptide-only inputs, which limits their utility for protein engineering, where practitioners need to (</w:t>
      </w:r>
      <w:proofErr w:type="spellStart"/>
      <w:r w:rsidRPr="002F3241">
        <w:rPr>
          <w:rFonts w:ascii="Times New Roman" w:hAnsi="Times New Roman" w:cs="Times New Roman"/>
        </w:rPr>
        <w:t>i</w:t>
      </w:r>
      <w:proofErr w:type="spellEnd"/>
      <w:r w:rsidRPr="002F3241">
        <w:rPr>
          <w:rFonts w:ascii="Times New Roman" w:hAnsi="Times New Roman" w:cs="Times New Roman"/>
        </w:rPr>
        <w:t xml:space="preserve">) identify high-risk regions across a full protein, and (ii) redesign sequences under structural/function constraints. Meanwhile, state-of-the-art inverse folding tools (e.g., ProteinMPNN, diffusion-based inverse folding) optimize for foldability but are not immunogenicity-aware, often leaving strong MHC-II hotspots untouched, causing severe immune response </w:t>
      </w:r>
      <w:r w:rsidR="00A31D01">
        <w:rPr>
          <w:rFonts w:ascii="Times New Roman" w:hAnsi="Times New Roman" w:cs="Times New Roman"/>
        </w:rPr>
        <w:t>–</w:t>
      </w:r>
      <w:r w:rsidRPr="002F3241">
        <w:rPr>
          <w:rFonts w:ascii="Times New Roman" w:hAnsi="Times New Roman" w:cs="Times New Roman"/>
        </w:rPr>
        <w:t xml:space="preserve"> </w:t>
      </w:r>
      <w:r w:rsidR="00A31D01">
        <w:rPr>
          <w:rFonts w:ascii="Times New Roman" w:hAnsi="Times New Roman" w:cs="Times New Roman" w:hint="eastAsia"/>
        </w:rPr>
        <w:t>antidrug antibody</w:t>
      </w:r>
      <w:r w:rsidRPr="002F3241">
        <w:rPr>
          <w:rFonts w:ascii="Times New Roman" w:hAnsi="Times New Roman" w:cs="Times New Roman"/>
        </w:rPr>
        <w:t>.</w:t>
      </w:r>
    </w:p>
    <w:p w14:paraId="14426CA1" w14:textId="344D3806" w:rsidR="00501337" w:rsidRPr="002F3241" w:rsidRDefault="00501337" w:rsidP="002F3241">
      <w:pPr>
        <w:ind w:firstLine="420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Our goal is to build the first modular framework that injects MHC-II immunopeptidome constraints into protein inverse folding/design, enabled by our verified peptide-to-protein mapping dataset.</w:t>
      </w:r>
    </w:p>
    <w:p w14:paraId="34DFD2C4" w14:textId="5A53A21E" w:rsidR="00501337" w:rsidRPr="002F3241" w:rsidRDefault="00501337" w:rsidP="00501337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  <w:b/>
          <w:bCs/>
        </w:rPr>
        <w:t>Aim 1</w:t>
      </w:r>
      <w:r w:rsidRPr="002F3241">
        <w:rPr>
          <w:rFonts w:ascii="Times New Roman" w:hAnsi="Times New Roman" w:cs="Times New Roman"/>
        </w:rPr>
        <w:t>: Full-length hotspot prediction from peptide-level evidence</w:t>
      </w:r>
    </w:p>
    <w:p w14:paraId="26FD2BF4" w14:textId="116B1420" w:rsidR="0014184B" w:rsidRPr="002F3241" w:rsidRDefault="00501337" w:rsidP="00501337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Objective: Train a sequence-level “epitope-risk head” that takes a full-length protein sequence as input and outputs a position-wise risk map (hotspots) and an aggregated global risk score.</w:t>
      </w:r>
    </w:p>
    <w:p w14:paraId="2EE3002F" w14:textId="346CDF28" w:rsidR="00501337" w:rsidRPr="002F3241" w:rsidRDefault="00501337" w:rsidP="00F97F77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  <w:b/>
          <w:bCs/>
        </w:rPr>
        <w:t>Aim 2</w:t>
      </w:r>
      <w:r w:rsidRPr="002F3241">
        <w:rPr>
          <w:rFonts w:ascii="Times New Roman" w:hAnsi="Times New Roman" w:cs="Times New Roman"/>
        </w:rPr>
        <w:t>: Hotspot-aware protein design via diffusion guidance</w:t>
      </w:r>
    </w:p>
    <w:p w14:paraId="69C522D7" w14:textId="53EFD036" w:rsidR="0014184B" w:rsidRPr="002F3241" w:rsidRDefault="00501337" w:rsidP="00F97F77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Objective: Integrate the trained risk head as a guidance module for inverse folding / generative design (diffusion-based inverse folding preferred), producing sequences that reduce predicted MHC-II hotspots while maintaining structural plausibility.</w:t>
      </w:r>
    </w:p>
    <w:p w14:paraId="09172460" w14:textId="5C2A87C3" w:rsidR="00501337" w:rsidRPr="002F3241" w:rsidRDefault="00501337" w:rsidP="00F97F77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  <w:b/>
          <w:bCs/>
        </w:rPr>
        <w:t>Aim 3</w:t>
      </w:r>
      <w:r w:rsidRPr="002F3241">
        <w:rPr>
          <w:rFonts w:ascii="Times New Roman" w:hAnsi="Times New Roman" w:cs="Times New Roman"/>
        </w:rPr>
        <w:t>: Modularization: plug-and-play immune constraint for the community</w:t>
      </w:r>
    </w:p>
    <w:p w14:paraId="75857879" w14:textId="6CBA0278" w:rsidR="00501337" w:rsidRDefault="00501337" w:rsidP="00F97F77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>Objective: Release the epitope-risk head as a modular component that can be attached to different protein generative models (inverse folding, sequence diffusion, language models), enabling broad community use.</w:t>
      </w:r>
    </w:p>
    <w:p w14:paraId="3E53C35C" w14:textId="77777777" w:rsidR="00F82CEC" w:rsidRPr="002F3241" w:rsidRDefault="00F82CEC" w:rsidP="00F97F77">
      <w:pPr>
        <w:rPr>
          <w:rFonts w:ascii="Times New Roman" w:hAnsi="Times New Roman" w:cs="Times New Roman"/>
        </w:rPr>
      </w:pPr>
    </w:p>
    <w:p w14:paraId="1C294205" w14:textId="0D13A2A7" w:rsidR="00F97F77" w:rsidRPr="00F82CEC" w:rsidRDefault="00F97F77" w:rsidP="00F82CEC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 w:rsidRPr="00F82CEC">
        <w:rPr>
          <w:b/>
          <w:bCs/>
        </w:rPr>
        <w:t>Preliminary analyses</w:t>
      </w:r>
      <w:r w:rsidR="005576D7" w:rsidRPr="00F82CEC">
        <w:rPr>
          <w:rFonts w:ascii="Times New Roman" w:hAnsi="Times New Roman" w:cs="Times New Roman"/>
        </w:rPr>
        <w:br/>
        <w:t xml:space="preserve">Data distribution analyses: </w:t>
      </w:r>
    </w:p>
    <w:p w14:paraId="7D3D6664" w14:textId="239F2D57" w:rsidR="00501337" w:rsidRPr="002F3241" w:rsidRDefault="005576D7" w:rsidP="00F82CEC">
      <w:pPr>
        <w:jc w:val="center"/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  <w:noProof/>
        </w:rPr>
        <w:drawing>
          <wp:inline distT="0" distB="0" distL="0" distR="0" wp14:anchorId="2C9B1B7A" wp14:editId="010A258B">
            <wp:extent cx="2095789" cy="1737995"/>
            <wp:effectExtent l="0" t="0" r="0" b="1905"/>
            <wp:docPr id="215171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71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4515" cy="188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4876" w14:textId="3B06A192" w:rsidR="002F3241" w:rsidRPr="002F3241" w:rsidRDefault="005576D7" w:rsidP="00501337">
      <w:pPr>
        <w:rPr>
          <w:rFonts w:ascii="Times New Roman" w:hAnsi="Times New Roman" w:cs="Times New Roman"/>
        </w:rPr>
      </w:pPr>
      <w:r w:rsidRPr="002F3241">
        <w:rPr>
          <w:rFonts w:ascii="Times New Roman" w:hAnsi="Times New Roman" w:cs="Times New Roman"/>
        </w:rPr>
        <w:t xml:space="preserve">Overlap </w:t>
      </w:r>
      <w:r w:rsidR="00DB57D1" w:rsidRPr="002F3241">
        <w:rPr>
          <w:rFonts w:ascii="Times New Roman" w:hAnsi="Times New Roman" w:cs="Times New Roman"/>
        </w:rPr>
        <w:t>analysis:</w:t>
      </w:r>
      <w:r w:rsidR="002F3241" w:rsidRPr="002F3241">
        <w:rPr>
          <w:rFonts w:ascii="Times New Roman" w:hAnsi="Times New Roman" w:cs="Times New Roman"/>
        </w:rPr>
        <w:t xml:space="preserve">                But if we consider pair overlap (peptide, allele):</w:t>
      </w:r>
    </w:p>
    <w:tbl>
      <w:tblPr>
        <w:tblW w:w="336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888"/>
        <w:gridCol w:w="1043"/>
      </w:tblGrid>
      <w:tr w:rsidR="00DB57D1" w:rsidRPr="002F3241" w14:paraId="52E8FCF5" w14:textId="77777777" w:rsidTr="00F82CEC">
        <w:trPr>
          <w:trHeight w:val="2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19A1C622" w14:textId="1EF704D8" w:rsidR="00DB57D1" w:rsidRPr="00F82CEC" w:rsidRDefault="00DB57D1" w:rsidP="00DB57D1">
            <w:pPr>
              <w:rPr>
                <w:rFonts w:ascii="Times New Roman" w:hAnsi="Times New Roman" w:cs="Times New Roman"/>
                <w:b/>
                <w:bCs/>
                <w:color w:val="3B3B3B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6E3AC19E" w14:textId="7F19A535" w:rsidR="00DB57D1" w:rsidRPr="002F3241" w:rsidRDefault="00DB57D1" w:rsidP="00DB57D1">
            <w:pPr>
              <w:rPr>
                <w:rFonts w:ascii="Times New Roman" w:hAnsi="Times New Roman" w:cs="Times New Roman"/>
                <w:b/>
                <w:bCs/>
                <w:color w:val="3B3B3B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b/>
                <w:bCs/>
                <w:color w:val="3B3B3B"/>
                <w:sz w:val="21"/>
                <w:szCs w:val="21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5F22BE3C" w14:textId="751A9468" w:rsidR="00DB57D1" w:rsidRPr="002F3241" w:rsidRDefault="00DB57D1" w:rsidP="00DB57D1">
            <w:pPr>
              <w:rPr>
                <w:rFonts w:ascii="Times New Roman" w:hAnsi="Times New Roman" w:cs="Times New Roman"/>
                <w:b/>
                <w:bCs/>
                <w:color w:val="3B3B3B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b/>
                <w:bCs/>
                <w:color w:val="3B3B3B"/>
                <w:sz w:val="21"/>
                <w:szCs w:val="21"/>
              </w:rPr>
              <w:t>Proportion</w:t>
            </w:r>
          </w:p>
        </w:tc>
      </w:tr>
      <w:tr w:rsidR="00DB57D1" w:rsidRPr="002F3241" w14:paraId="221D7E04" w14:textId="77777777" w:rsidTr="00F82CEC">
        <w:trPr>
          <w:trHeight w:val="22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4F3D11D4" w14:textId="5CB4CBB0" w:rsidR="00DB57D1" w:rsidRPr="002F3241" w:rsidRDefault="00DB57D1" w:rsidP="00DB57D1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Unique peptides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74E1CF26" w14:textId="77777777" w:rsidR="00DB57D1" w:rsidRPr="002F3241" w:rsidRDefault="00DB57D1" w:rsidP="00DB57D1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412,158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15D4DC8B" w14:textId="77777777" w:rsidR="00DB57D1" w:rsidRPr="002F3241" w:rsidRDefault="00DB57D1" w:rsidP="00DB57D1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-</w:t>
            </w:r>
          </w:p>
        </w:tc>
      </w:tr>
      <w:tr w:rsidR="00DB57D1" w:rsidRPr="002F3241" w14:paraId="3845BBB8" w14:textId="77777777" w:rsidTr="00F82CEC">
        <w:trPr>
          <w:trHeight w:val="21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</w:tcPr>
          <w:p w14:paraId="47C2197B" w14:textId="4C7D7935" w:rsidR="00DB57D1" w:rsidRPr="002F3241" w:rsidRDefault="00DB57D1" w:rsidP="00DB57D1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Single sou</w:t>
            </w:r>
            <w:r w:rsidR="0014184B"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r</w:t>
            </w: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</w:tcPr>
          <w:p w14:paraId="7C587054" w14:textId="6E9BF236" w:rsidR="00DB57D1" w:rsidRPr="002F3241" w:rsidRDefault="00DB57D1" w:rsidP="00DB57D1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271,345</w:t>
            </w: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ab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</w:tcPr>
          <w:p w14:paraId="67DA2EE3" w14:textId="65C77E1C" w:rsidR="00DB57D1" w:rsidRPr="002F3241" w:rsidRDefault="00DB57D1" w:rsidP="00DB57D1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65.84%</w:t>
            </w:r>
          </w:p>
        </w:tc>
      </w:tr>
      <w:tr w:rsidR="00DB57D1" w:rsidRPr="002F3241" w14:paraId="78E86521" w14:textId="77777777" w:rsidTr="00F82CEC">
        <w:trPr>
          <w:trHeight w:val="22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05903411" w14:textId="069B0666" w:rsidR="00DB57D1" w:rsidRPr="002F3241" w:rsidRDefault="00DB57D1" w:rsidP="00DB57D1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b/>
                <w:bCs/>
                <w:color w:val="374151"/>
                <w:sz w:val="21"/>
                <w:szCs w:val="21"/>
                <w:bdr w:val="single" w:sz="2" w:space="0" w:color="C0C1C6" w:frame="1"/>
              </w:rPr>
              <w:t>Overlap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082A2022" w14:textId="77777777" w:rsidR="00DB57D1" w:rsidRPr="002F3241" w:rsidRDefault="00DB57D1" w:rsidP="00DB57D1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b/>
                <w:bCs/>
                <w:color w:val="374151"/>
                <w:sz w:val="21"/>
                <w:szCs w:val="21"/>
                <w:bdr w:val="single" w:sz="2" w:space="0" w:color="C0C1C6" w:frame="1"/>
              </w:rPr>
              <w:t>140,813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531F756B" w14:textId="77777777" w:rsidR="00DB57D1" w:rsidRPr="002F3241" w:rsidRDefault="00DB57D1" w:rsidP="00DB57D1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b/>
                <w:bCs/>
                <w:color w:val="374151"/>
                <w:sz w:val="21"/>
                <w:szCs w:val="21"/>
                <w:bdr w:val="single" w:sz="2" w:space="0" w:color="C0C1C6" w:frame="1"/>
              </w:rPr>
              <w:t>34.16%</w:t>
            </w:r>
          </w:p>
        </w:tc>
      </w:tr>
    </w:tbl>
    <w:tbl>
      <w:tblPr>
        <w:tblpPr w:leftFromText="180" w:rightFromText="180" w:vertAnchor="text" w:horzAnchor="margin" w:tblpXSpec="right" w:tblpY="-1440"/>
        <w:tblW w:w="36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944"/>
        <w:gridCol w:w="1241"/>
      </w:tblGrid>
      <w:tr w:rsidR="00F82CEC" w:rsidRPr="002F3241" w14:paraId="4A81AF54" w14:textId="77777777" w:rsidTr="00F82CEC">
        <w:trPr>
          <w:trHeight w:val="2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313A38E9" w14:textId="77777777" w:rsidR="00F82CEC" w:rsidRPr="002F3241" w:rsidRDefault="00F82CEC" w:rsidP="00F82CEC">
            <w:pPr>
              <w:rPr>
                <w:rFonts w:ascii="Times New Roman" w:hAnsi="Times New Roman" w:cs="Times New Roman"/>
                <w:b/>
                <w:bCs/>
                <w:color w:val="3B3B3B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21A6046F" w14:textId="77777777" w:rsidR="00F82CEC" w:rsidRPr="002F3241" w:rsidRDefault="00F82CEC" w:rsidP="00F82CEC">
            <w:pPr>
              <w:rPr>
                <w:rFonts w:ascii="Times New Roman" w:hAnsi="Times New Roman" w:cs="Times New Roman"/>
                <w:b/>
                <w:bCs/>
                <w:color w:val="3B3B3B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b/>
                <w:bCs/>
                <w:color w:val="3B3B3B"/>
                <w:sz w:val="21"/>
                <w:szCs w:val="21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7904DC3B" w14:textId="77777777" w:rsidR="00F82CEC" w:rsidRPr="002F3241" w:rsidRDefault="00F82CEC" w:rsidP="00F82CEC">
            <w:pPr>
              <w:rPr>
                <w:rFonts w:ascii="Times New Roman" w:hAnsi="Times New Roman" w:cs="Times New Roman"/>
                <w:b/>
                <w:bCs/>
                <w:color w:val="3B3B3B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b/>
                <w:bCs/>
                <w:color w:val="3B3B3B"/>
                <w:sz w:val="21"/>
                <w:szCs w:val="21"/>
              </w:rPr>
              <w:t>Proportion</w:t>
            </w:r>
          </w:p>
        </w:tc>
      </w:tr>
      <w:tr w:rsidR="00F82CEC" w:rsidRPr="002F3241" w14:paraId="33979EC6" w14:textId="77777777" w:rsidTr="00F82CEC">
        <w:trPr>
          <w:trHeight w:val="28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6C3018EE" w14:textId="77777777" w:rsidR="00F82CEC" w:rsidRPr="002F3241" w:rsidRDefault="00F82CEC" w:rsidP="00F82CEC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Unique pairs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0C39667D" w14:textId="77777777" w:rsidR="00F82CEC" w:rsidRPr="002F3241" w:rsidRDefault="00F82CEC" w:rsidP="00F82CEC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708,006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111D7ED6" w14:textId="77777777" w:rsidR="00F82CEC" w:rsidRPr="002F3241" w:rsidRDefault="00F82CEC" w:rsidP="00F82CEC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-</w:t>
            </w:r>
          </w:p>
        </w:tc>
      </w:tr>
      <w:tr w:rsidR="00F82CEC" w:rsidRPr="002F3241" w14:paraId="3D0C12BA" w14:textId="77777777" w:rsidTr="00F82CEC">
        <w:trPr>
          <w:trHeight w:val="26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5AB2F343" w14:textId="77777777" w:rsidR="00F82CEC" w:rsidRPr="002F3241" w:rsidRDefault="00F82CEC" w:rsidP="00F82CEC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Single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1E2B294F" w14:textId="77777777" w:rsidR="00F82CEC" w:rsidRPr="002F3241" w:rsidRDefault="00F82CEC" w:rsidP="00F82CEC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707,544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78DC789D" w14:textId="77777777" w:rsidR="00F82CEC" w:rsidRPr="002F3241" w:rsidRDefault="00F82CEC" w:rsidP="00F82CEC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Style w:val="ae"/>
                <w:rFonts w:ascii="Times New Roman" w:hAnsi="Times New Roman" w:cs="Times New Roman"/>
                <w:color w:val="374151"/>
                <w:sz w:val="21"/>
                <w:szCs w:val="21"/>
                <w:bdr w:val="single" w:sz="2" w:space="0" w:color="C0C1C6" w:frame="1"/>
              </w:rPr>
              <w:t>99.93%</w:t>
            </w:r>
          </w:p>
        </w:tc>
      </w:tr>
      <w:tr w:rsidR="00F82CEC" w:rsidRPr="002F3241" w14:paraId="42FEDBE0" w14:textId="77777777" w:rsidTr="00F82CEC">
        <w:trPr>
          <w:trHeight w:val="28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13372E6F" w14:textId="77777777" w:rsidR="00F82CEC" w:rsidRPr="002F3241" w:rsidRDefault="00F82CEC" w:rsidP="00F82CEC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Overlap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46FD0907" w14:textId="77777777" w:rsidR="00F82CEC" w:rsidRPr="002F3241" w:rsidRDefault="00F82CEC" w:rsidP="00F82CEC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462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8F8"/>
            <w:vAlign w:val="bottom"/>
            <w:hideMark/>
          </w:tcPr>
          <w:p w14:paraId="74502DED" w14:textId="77777777" w:rsidR="00F82CEC" w:rsidRPr="002F3241" w:rsidRDefault="00F82CEC" w:rsidP="00F82CEC">
            <w:pPr>
              <w:rPr>
                <w:rFonts w:ascii="Times New Roman" w:hAnsi="Times New Roman" w:cs="Times New Roman"/>
                <w:color w:val="374151"/>
                <w:sz w:val="21"/>
                <w:szCs w:val="21"/>
              </w:rPr>
            </w:pPr>
            <w:r w:rsidRPr="002F3241">
              <w:rPr>
                <w:rFonts w:ascii="Times New Roman" w:hAnsi="Times New Roman" w:cs="Times New Roman"/>
                <w:color w:val="374151"/>
                <w:sz w:val="21"/>
                <w:szCs w:val="21"/>
              </w:rPr>
              <w:t>0.07%</w:t>
            </w:r>
          </w:p>
        </w:tc>
      </w:tr>
    </w:tbl>
    <w:p w14:paraId="3AE0627E" w14:textId="77777777" w:rsidR="00DB57D1" w:rsidRPr="002F3241" w:rsidRDefault="00DB57D1" w:rsidP="00501337">
      <w:pPr>
        <w:rPr>
          <w:rFonts w:ascii="Times New Roman" w:hAnsi="Times New Roman" w:cs="Times New Roman"/>
        </w:rPr>
      </w:pPr>
    </w:p>
    <w:sectPr w:rsidR="00DB57D1" w:rsidRPr="002F32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0FC5"/>
    <w:multiLevelType w:val="hybridMultilevel"/>
    <w:tmpl w:val="D42AC582"/>
    <w:lvl w:ilvl="0" w:tplc="152C7B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3951E1"/>
    <w:multiLevelType w:val="hybridMultilevel"/>
    <w:tmpl w:val="DDA6E3C6"/>
    <w:lvl w:ilvl="0" w:tplc="152C7B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AE80307"/>
    <w:multiLevelType w:val="hybridMultilevel"/>
    <w:tmpl w:val="B82E2C4C"/>
    <w:lvl w:ilvl="0" w:tplc="1B9C8DBA">
      <w:start w:val="34"/>
      <w:numFmt w:val="bullet"/>
      <w:lvlText w:val="-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BA45D69"/>
    <w:multiLevelType w:val="hybridMultilevel"/>
    <w:tmpl w:val="A0986A18"/>
    <w:lvl w:ilvl="0" w:tplc="152C7B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F271637"/>
    <w:multiLevelType w:val="hybridMultilevel"/>
    <w:tmpl w:val="D1C03AE0"/>
    <w:lvl w:ilvl="0" w:tplc="1B9C8DBA">
      <w:start w:val="34"/>
      <w:numFmt w:val="bullet"/>
      <w:lvlText w:val="-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94C1B98"/>
    <w:multiLevelType w:val="hybridMultilevel"/>
    <w:tmpl w:val="A65201A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046610">
    <w:abstractNumId w:val="5"/>
  </w:num>
  <w:num w:numId="2" w16cid:durableId="1750468661">
    <w:abstractNumId w:val="0"/>
  </w:num>
  <w:num w:numId="3" w16cid:durableId="633289071">
    <w:abstractNumId w:val="1"/>
  </w:num>
  <w:num w:numId="4" w16cid:durableId="869148709">
    <w:abstractNumId w:val="3"/>
  </w:num>
  <w:num w:numId="5" w16cid:durableId="1508059675">
    <w:abstractNumId w:val="2"/>
  </w:num>
  <w:num w:numId="6" w16cid:durableId="571745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F77"/>
    <w:rsid w:val="0001477D"/>
    <w:rsid w:val="00015D39"/>
    <w:rsid w:val="0014184B"/>
    <w:rsid w:val="00152968"/>
    <w:rsid w:val="00191E8A"/>
    <w:rsid w:val="00287542"/>
    <w:rsid w:val="002F3241"/>
    <w:rsid w:val="00331ADA"/>
    <w:rsid w:val="0038497B"/>
    <w:rsid w:val="003A0E0A"/>
    <w:rsid w:val="003E6E79"/>
    <w:rsid w:val="004070C8"/>
    <w:rsid w:val="00460EBA"/>
    <w:rsid w:val="00486796"/>
    <w:rsid w:val="00490E2E"/>
    <w:rsid w:val="00501337"/>
    <w:rsid w:val="00523591"/>
    <w:rsid w:val="0053147D"/>
    <w:rsid w:val="005576D7"/>
    <w:rsid w:val="00563D6C"/>
    <w:rsid w:val="005B5B22"/>
    <w:rsid w:val="005C2763"/>
    <w:rsid w:val="00637DE6"/>
    <w:rsid w:val="006737B7"/>
    <w:rsid w:val="006C226D"/>
    <w:rsid w:val="00807782"/>
    <w:rsid w:val="0088229F"/>
    <w:rsid w:val="008A77C4"/>
    <w:rsid w:val="00902C9F"/>
    <w:rsid w:val="009162D8"/>
    <w:rsid w:val="00970EFD"/>
    <w:rsid w:val="009A5399"/>
    <w:rsid w:val="009E643A"/>
    <w:rsid w:val="00A20F0F"/>
    <w:rsid w:val="00A31D01"/>
    <w:rsid w:val="00AB2871"/>
    <w:rsid w:val="00AF1A39"/>
    <w:rsid w:val="00B34E01"/>
    <w:rsid w:val="00BF2721"/>
    <w:rsid w:val="00C329E6"/>
    <w:rsid w:val="00C53EFB"/>
    <w:rsid w:val="00CF3040"/>
    <w:rsid w:val="00DA5F69"/>
    <w:rsid w:val="00DB57D1"/>
    <w:rsid w:val="00E37C76"/>
    <w:rsid w:val="00EA2F58"/>
    <w:rsid w:val="00EB17AD"/>
    <w:rsid w:val="00EE1D54"/>
    <w:rsid w:val="00EF5ABD"/>
    <w:rsid w:val="00F02A6F"/>
    <w:rsid w:val="00F11D0D"/>
    <w:rsid w:val="00F71C76"/>
    <w:rsid w:val="00F82CEC"/>
    <w:rsid w:val="00F852D4"/>
    <w:rsid w:val="00F9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8AC13F"/>
  <w15:chartTrackingRefBased/>
  <w15:docId w15:val="{85FC793E-6E6F-EC42-AB69-B1449497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7D1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7F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97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F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F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F77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F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F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F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F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7F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97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7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7F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7F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7F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7F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7F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7F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7F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7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F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7F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7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7F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7F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F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7F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7F77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DB5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2026-01-03T13:29:00Z</dcterms:created>
  <dcterms:modified xsi:type="dcterms:W3CDTF">2026-01-05T03:49:00Z</dcterms:modified>
</cp:coreProperties>
</file>