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240" w:after="160"/>
      </w:pPr>
      <w:r>
        <w:rPr>
          <w:rFonts w:ascii="Times New Roman" w:hAnsi="Times New Roman"/>
          <w:b/>
          <w:color w:val="000000"/>
          <w:sz w:val="32"/>
        </w:rPr>
        <w:t xml:space="preserve">Declaration of Competing Interest</w:t>
      </w:r>
    </w:p>
    <w:p>
      <w:pPr>
        <w:spacing w:after="140"/>
      </w:pPr>
      <w:r>
        <w:rPr>
          <w:rFonts w:ascii="Times New Roman" w:hAnsi="Times New Roman"/>
          <w:color w:val="000000"/>
          <w:sz w:val="24"/>
          <w:b/>
        </w:rPr>
        <w:t xml:space="preserve">Manuscript Title: Effective Training Pressure Gates Recursive Knowledge Degradation in LLMs: A Multi-Axis Dose-Response Study</w:t>
      </w:r>
    </w:p>
    <w:p>
      <w:pPr>
        <w:spacing w:after="140"/>
      </w:pPr>
      <w:r>
        <w:rPr>
          <w:rFonts w:ascii="Times New Roman" w:hAnsi="Times New Roman"/>
          <w:color w:val="000000"/>
          <w:sz w:val="24"/>
        </w:rPr>
        <w:t xml:space="preserve">Target Journal: Results in Engineering</w:t>
      </w:r>
    </w:p>
    <w:p>
      <w:pPr>
        <w:spacing w:after="140"/>
      </w:pPr>
      <w:r>
        <w:rPr>
          <w:rFonts w:ascii="Times New Roman" w:hAnsi="Times New Roman"/>
          <w:color w:val="000000"/>
          <w:sz w:val="24"/>
        </w:rPr>
        <w:t xml:space="preserve">The authors declare that they have no known competing financial interests or personal relationships that could have appeared to influence the work reported in this paper.</w:t>
      </w:r>
    </w:p>
    <w:p>
      <w:pPr>
        <w:jc w:val="left"/>
        <w:spacing w:before="200" w:after="120"/>
      </w:pPr>
      <w:r>
        <w:rPr>
          <w:rFonts w:ascii="Times New Roman" w:hAnsi="Times New Roman"/>
          <w:b/>
          <w:color w:val="000000"/>
          <w:sz w:val="26"/>
        </w:rPr>
        <w:t xml:space="preserve">Authors:</w:t>
      </w:r>
    </w:p>
    <w:p>
      <w:pPr>
        <w:ind w:left="720" w:hanging="360"/>
        <w:spacing w:after="140"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 xml:space="preserve">Julio Leite Azancort Neto (Universidade Federal do Pará (UFPA), Belém, PA, Brazil)</w:t>
      </w:r>
    </w:p>
    <w:p>
      <w:pPr>
        <w:ind w:left="720" w:hanging="360"/>
        <w:spacing w:after="140"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 xml:space="preserve">Carlos André de Mattos Teixeira (Universidade Federal do Pará (UFPA), Belém, PA, Brazil)</w:t>
      </w:r>
    </w:p>
    <w:p>
      <w:pPr>
        <w:ind w:left="720" w:hanging="360"/>
        <w:spacing w:after="140"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 xml:space="preserve">André Carlos Ponce de Leon Ferreira de Carvalho (Institute of Mathematics and Computer Sciences (ICMC), University of São Paulo (USP), São Carlos, SP, Brazil)</w:t>
      </w:r>
    </w:p>
    <w:p>
      <w:pPr>
        <w:ind w:left="720" w:hanging="360"/>
        <w:spacing w:after="140"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 xml:space="preserve">Carlos Renato Lisboa Francês (Universidade Federal do Pará (UFPA), Belém, PA, Brazil)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2026-07-21T01:12:33Z</dcterms:created>
  <dcterms:modified xsi:type="dcterms:W3CDTF">2026-07-21T01:12:33Z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