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Highlights</w:t>
      </w:r>
    </w:p>
    <w:p/>
    <w:p>
      <w:pPr>
        <w:pStyle w:val="ListBullet"/>
      </w:pPr>
      <w:r>
        <w:rPr>
          <w:sz w:val="22"/>
        </w:rPr>
        <w:t>Rank-dependent threshold-like transition between homeostatic and degradative regimes</w:t>
      </w:r>
    </w:p>
    <w:p>
      <w:pPr>
        <w:pStyle w:val="ListBullet"/>
      </w:pPr>
      <w:r>
        <w:rPr>
          <w:sz w:val="22"/>
        </w:rPr>
        <w:t>Regime boundaries differ tenfold across backbones (effective rank 3–6 vs 50–88)</w:t>
      </w:r>
    </w:p>
    <w:p>
      <w:pPr>
        <w:pStyle w:val="ListBullet"/>
      </w:pPr>
      <w:r>
        <w:rPr>
          <w:sz w:val="22"/>
        </w:rPr>
        <w:t>Adapter rank and learning rate both shift the observed operating regime</w:t>
      </w:r>
    </w:p>
    <w:p>
      <w:pPr>
        <w:pStyle w:val="ListBullet"/>
      </w:pPr>
      <w:r>
        <w:rPr>
          <w:sz w:val="22"/>
        </w:rPr>
        <w:t>Output drift accompanies degradative regimes while factual retention stays bounded</w:t>
      </w:r>
    </w:p>
    <w:p>
      <w:pPr>
        <w:pStyle w:val="ListBullet"/>
      </w:pPr>
      <w:r>
        <w:rPr>
          <w:sz w:val="22"/>
        </w:rPr>
        <w:t>A 50% synthetic exposure cut improved retention on both backbones tested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