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240" w:after="160"/>
      </w:pPr>
      <w:r>
        <w:rPr>
          <w:rFonts w:ascii="Times New Roman" w:hAnsi="Times New Roman"/>
          <w:b/>
          <w:color w:val="000000"/>
          <w:sz w:val="32"/>
        </w:rPr>
        <w:t xml:space="preserve">Highlights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  <w:b/>
        </w:rPr>
        <w:t xml:space="preserve">Effective Training Pressure Gates Recursive Knowledge Degradation in LLMs: A Multi-Axis Dose-Response Study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Recursive degradation exhibits a sharp pressure-dependent transition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Pressure thresholds differ by an order of magnitude across backbones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Adapter rank and learning rate interact to determine the operating regime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Output drift accompanies degradative regimes beyond factual retention loss</w:t>
      </w:r>
    </w:p>
    <w:p>
      <w:pPr>
        <w:ind w:left="720" w:hanging="360"/>
        <w:spacing w:after="140"/>
      </w:pPr>
      <w:r>
        <w:rPr>
          <w:rFonts w:ascii="Times New Roman" w:hAnsi="Times New Roman"/>
          <w:color w:val="000000"/>
          <w:sz w:val="24"/>
        </w:rPr>
        <w:t xml:space="preserve">• </w:t>
      </w:r>
      <w:r>
        <w:rPr>
          <w:rFonts w:ascii="Times New Roman" w:hAnsi="Times New Roman"/>
          <w:color w:val="000000"/>
          <w:sz w:val="24"/>
        </w:rPr>
        <w:t xml:space="preserve">Reducing synthetic exposure by 5% restores near-homeostatic behavior on Qwen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2026-07-21T01:12:33Z</dcterms:created>
  <dcterms:modified xsi:type="dcterms:W3CDTF">2026-07-21T01:12:33Z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