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color w:val="767171"/>
                <w:sz w:val="24"/>
                <w:szCs w:val="24"/>
              </w:rPr>
            </w:pP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Sí, hemos logrado cumplir las actividades en los tiempos definidos en la Carta Gantt. A la fecha (13 de octubre) los Sprints 1 y 2 se cerraron en las fechas previstas, con sus entregas validadas con Grupo Sentte, y el Sprint 3 (Mantenciones) está casi listo, con cierre previsto el 25 de octubre junto con el Informe de Avance. El módulo Mi Vehículo y el componente de Registro Inteligente con IA quedaron funcionando antes de la Sprint Review del Sprint 2, y mantuvimos operativa la funcionalidad heredada de la Fase 1, tal como pidió el cliente.</w:t>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Esto fue posible gracias a varios factores: el marco Scrum con Sprint Reviews cada dos semanas, que nos permitió validar a tiempo con el cliente y corregir el rumbo temprano (por ejemplo, con el feedback del 1 de octubre sobre notificaciones y foto del vehículo); la distribución clara de responsabilidades por Sprint en la Matriz RACI; el Plan de Riesgo, que anticipó la dependencia de la IA y dejó el ingreso manual como alternativa funcional (RF-040); y el diseño del componente de Registro Inteligente una sola vez en el Sprint 2 para reutilizarlo en los módulos siguientes. También ayudó la alta disponibilidad de Rodrigo y Oliver para reuniones y consultas, y el análisis previo del código heredado durante el Sprint 1.</w:t>
            </w:r>
          </w:p>
          <w:p w:rsidR="00000000" w:rsidDel="00000000" w:rsidP="00000000" w:rsidRDefault="00000000" w:rsidRPr="00000000" w14:paraId="0000000C">
            <w:pPr>
              <w:jc w:val="both"/>
              <w:rPr>
                <w:color w:val="767171"/>
                <w:sz w:val="24"/>
                <w:szCs w:val="24"/>
              </w:rPr>
            </w:pPr>
            <w:r w:rsidDel="00000000" w:rsidR="00000000" w:rsidRPr="00000000">
              <w:rPr>
                <w:color w:val="767171"/>
                <w:sz w:val="24"/>
                <w:szCs w:val="24"/>
                <w:rtl w:val="0"/>
              </w:rPr>
              <w:t xml:space="preserve">Aun así, enfrentamos dificultades que debimos gestionar sin afectar los plazos: Firebase Storage exige activar el plan Blaze incluso para su cuota gratuita, por lo que migramos el almacenamiento a Supabase; el plan gratuito de la API de Gemini presentó caídas y saturación de modelos, lo que nos llevó a evaluar el plan de pago; tuvimos que crear una API Key propia; y la carga académica paralela (práctica profesional y otros ramos) lo que exigió una planificación cuidadosa de las tareas, como anticipamos en el riesgo R5 del Plan de Riesgo.</w:t>
            </w:r>
          </w:p>
          <w:p w:rsidR="00000000" w:rsidDel="00000000" w:rsidP="00000000" w:rsidRDefault="00000000" w:rsidRPr="00000000" w14:paraId="0000000D">
            <w:pPr>
              <w:jc w:val="both"/>
              <w:rPr>
                <w:color w:val="767171"/>
                <w:sz w:val="24"/>
                <w:szCs w:val="24"/>
              </w:rPr>
            </w:pPr>
            <w:r w:rsidDel="00000000" w:rsidR="00000000" w:rsidRPr="00000000">
              <w:rPr>
                <w:rtl w:val="0"/>
              </w:rPr>
            </w:r>
          </w:p>
          <w:p w:rsidR="00000000" w:rsidDel="00000000" w:rsidP="00000000" w:rsidRDefault="00000000" w:rsidRPr="00000000" w14:paraId="0000000E">
            <w:pPr>
              <w:spacing w:after="160" w:lineRule="auto"/>
              <w:jc w:val="both"/>
              <w:rPr>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spacing w:after="160" w:lineRule="auto"/>
              <w:jc w:val="both"/>
              <w:rPr>
                <w:b w:val="1"/>
                <w:bCs w:val="1"/>
                <w:color w:val="1f4e79"/>
              </w:rPr>
            </w:pPr>
            <w:r w:rsidDel="00000000" w:rsidR="00000000" w:rsidRPr="00000000">
              <w:rPr>
                <w:b w:val="1"/>
                <w:bCs w:val="1"/>
                <w:color w:val="1f4e79"/>
                <w:rtl w:val="0"/>
              </w:rPr>
              <w:t xml:space="preserve">Las dificultades técnicas que ya enfrentamos las abordamos con medidas verificables. La reescritura de seguridad se probó con pruebas automatizadas (emulador de Firebase) y con el simulador de Firebase antes de publicar las reglas, y desde entonces regeneramos la aplicación (APK) cada vez que cambian reglas o consultas, para que los dispositivos de prueba no queden desfasados. El almacenamiento de archivos se resolvió con Supabase, donde la aplicación nunca accede directamente: una función propia valida la sesión de Firebase antes de permitir subir o leer un archivo. Respecto de Gemini, decidimos mantener el mismo motor y seguir con el plan gratuito en lugar de migrar de proveedor y reescribir lo que ya estaba afinado; además dejamos diseñado un reintento con espera progresiva para los errores de alta demanda, y nos falta confirmar que quedó implementado.</w:t>
            </w:r>
          </w:p>
          <w:p w:rsidR="00000000" w:rsidDel="00000000" w:rsidP="00000000" w:rsidRDefault="00000000" w:rsidRPr="00000000" w14:paraId="00000014">
            <w:pPr>
              <w:spacing w:after="160" w:lineRule="auto"/>
              <w:jc w:val="both"/>
              <w:rPr>
                <w:b w:val="1"/>
                <w:bCs w:val="1"/>
                <w:color w:val="1f4e79"/>
              </w:rPr>
            </w:pPr>
            <w:r w:rsidDel="00000000" w:rsidR="00000000" w:rsidRPr="00000000">
              <w:rPr>
                <w:b w:val="1"/>
                <w:bCs w:val="1"/>
                <w:color w:val="1f4e79"/>
                <w:rtl w:val="0"/>
              </w:rPr>
              <w:t xml:space="preserve">Para lo que viene planeamos: restringir por dominio y cuota las claves de Gemini y Mapbox, dado que el archivo de configuración de la versión web es descargable; corregir el identificador de proyecto antiguo en firebase.json; incorporar una pantalla de consentimiento antes de capturar documentos con IA (RNF-012), hoy no cumplido; y coordinar con el tercero de Grupo Sentte cualquier cambio sobre la Fase 1 antes de aplicarlo, para respetar el principio de que la versión 2.0 amplía y no reemplaza a la 1.0.</w:t>
            </w:r>
          </w:p>
          <w:p w:rsidR="00000000" w:rsidDel="00000000" w:rsidP="00000000" w:rsidRDefault="00000000" w:rsidRPr="00000000" w14:paraId="00000015">
            <w:pPr>
              <w:spacing w:after="160" w:lineRule="auto"/>
              <w:jc w:val="both"/>
              <w:rPr>
                <w:b w:val="1"/>
                <w:bCs w:val="1"/>
                <w:color w:val="1f4e79"/>
              </w:rPr>
            </w:pPr>
            <w:r w:rsidDel="00000000" w:rsidR="00000000" w:rsidRPr="00000000">
              <w:rPr>
                <w:b w:val="1"/>
                <w:bCs w:val="1"/>
                <w:color w:val="1f4e79"/>
                <w:rtl w:val="0"/>
              </w:rPr>
              <w:t xml:space="preserve">En cuanto al cronograma: en el Sprint 3 dedicaremos los últimos 2-3 días exclusivamente al Informe de Avance (riesgo R10), usando una plantilla preparada con antelación. Para el Sprint 5 (riesgo crítico R3) desarrollaremos Beneficios en paralelo, haremos pruebas incrementales desde ahora y reservaremos la semana de cierre solo para integración y QA. Si el tiempo aprieta, simplificaremos primero lo más complejo (por ejemplo, que el cronómetro de estacionamiento sobreviva al cierre de la aplicación) antes que recortar módulos completos, y documentaremos cada recorte de alcance con su motivo. Finalmente, actualizaremos el Plan de Riesgo con los riesgos que efectivamente se materializaron (seguridad de datos y dependencia de proveedores de almacenamiento e IA).</w:t>
            </w:r>
          </w:p>
        </w:tc>
      </w:tr>
    </w:tbl>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spacing w:after="160" w:lineRule="auto"/>
              <w:jc w:val="both"/>
              <w:rPr>
                <w:b w:val="1"/>
                <w:bCs w:val="1"/>
                <w:color w:val="1f4e79"/>
                <w:sz w:val="22"/>
                <w:szCs w:val="22"/>
              </w:rPr>
            </w:pPr>
            <w:r w:rsidDel="00000000" w:rsidR="00000000" w:rsidRPr="00000000">
              <w:rPr>
                <w:b w:val="1"/>
                <w:bCs w:val="1"/>
                <w:color w:val="1f4e79"/>
                <w:sz w:val="22"/>
                <w:szCs w:val="22"/>
                <w:rtl w:val="0"/>
              </w:rPr>
              <w:t xml:space="preserve">Evalúo mi trabajo como sólido en gestión, con espacio de mejora en anticipación y consistencia documental. Destaco que dejé operativa la estructura de gestión del proyecto (Carta Gantt, Matriz RACI, Plan de Riesgo y actas de las tres reuniones con Grupo Sentte), que he mantenido la relación con el cliente con reuniones al cierre de cada Sprint y el desarrollo del </w:t>
            </w:r>
            <w:r w:rsidDel="00000000" w:rsidR="00000000" w:rsidRPr="00000000">
              <w:rPr>
                <w:b w:val="1"/>
                <w:bCs w:val="1"/>
                <w:color w:val="1f4e79"/>
                <w:rtl w:val="0"/>
              </w:rPr>
              <w:t xml:space="preserve">S</w:t>
            </w:r>
            <w:r w:rsidDel="00000000" w:rsidR="00000000" w:rsidRPr="00000000">
              <w:rPr>
                <w:b w:val="1"/>
                <w:bCs w:val="1"/>
                <w:color w:val="1f4e79"/>
                <w:sz w:val="22"/>
                <w:szCs w:val="22"/>
                <w:rtl w:val="0"/>
              </w:rPr>
              <w:t xml:space="preserve">print review y </w:t>
            </w:r>
            <w:r w:rsidDel="00000000" w:rsidR="00000000" w:rsidRPr="00000000">
              <w:rPr>
                <w:b w:val="1"/>
                <w:bCs w:val="1"/>
                <w:color w:val="1f4e79"/>
                <w:rtl w:val="0"/>
              </w:rPr>
              <w:t xml:space="preserve">S</w:t>
            </w:r>
            <w:r w:rsidDel="00000000" w:rsidR="00000000" w:rsidRPr="00000000">
              <w:rPr>
                <w:b w:val="1"/>
                <w:bCs w:val="1"/>
                <w:color w:val="1f4e79"/>
                <w:sz w:val="22"/>
                <w:szCs w:val="22"/>
                <w:rtl w:val="0"/>
              </w:rPr>
              <w:t xml:space="preserve">print retrospective. También valoro haber presentado avances funcionales al cliente de forma temprana y haber recogido su feedback para ajustar el rumbo.</w:t>
            </w:r>
          </w:p>
          <w:p w:rsidR="00000000" w:rsidDel="00000000" w:rsidP="00000000" w:rsidRDefault="00000000" w:rsidRPr="00000000" w14:paraId="0000001B">
            <w:pPr>
              <w:spacing w:after="160" w:lineRule="auto"/>
              <w:jc w:val="both"/>
              <w:rPr>
                <w:b w:val="1"/>
                <w:bCs w:val="1"/>
                <w:color w:val="1f4e79"/>
              </w:rPr>
            </w:pPr>
            <w:r w:rsidDel="00000000" w:rsidR="00000000" w:rsidRPr="00000000">
              <w:rPr>
                <w:b w:val="1"/>
                <w:bCs w:val="1"/>
                <w:color w:val="1f4e79"/>
                <w:sz w:val="22"/>
                <w:szCs w:val="22"/>
                <w:rtl w:val="0"/>
              </w:rPr>
              <w:t xml:space="preserve">Lo que debo mejorar: </w:t>
            </w:r>
            <w:r w:rsidDel="00000000" w:rsidR="00000000" w:rsidRPr="00000000">
              <w:rPr>
                <w:rtl w:val="0"/>
              </w:rPr>
            </w:r>
          </w:p>
          <w:p w:rsidR="00000000" w:rsidDel="00000000" w:rsidP="00000000" w:rsidRDefault="00000000" w:rsidRPr="00000000" w14:paraId="0000001C">
            <w:pPr>
              <w:numPr>
                <w:ilvl w:val="0"/>
                <w:numId w:val="2"/>
              </w:numPr>
              <w:spacing w:after="0" w:afterAutospacing="0" w:lineRule="auto"/>
              <w:ind w:left="720" w:hanging="360"/>
              <w:jc w:val="both"/>
              <w:rPr>
                <w:b w:val="1"/>
                <w:bCs w:val="1"/>
                <w:color w:val="1f4e79"/>
                <w:u w:val="none"/>
              </w:rPr>
            </w:pPr>
            <w:r w:rsidDel="00000000" w:rsidR="00000000" w:rsidRPr="00000000">
              <w:rPr>
                <w:b w:val="1"/>
                <w:bCs w:val="1"/>
                <w:color w:val="1f4e79"/>
                <w:rtl w:val="0"/>
              </w:rPr>
              <w:t xml:space="preserve">A</w:t>
            </w:r>
            <w:r w:rsidDel="00000000" w:rsidR="00000000" w:rsidRPr="00000000">
              <w:rPr>
                <w:b w:val="1"/>
                <w:bCs w:val="1"/>
                <w:color w:val="1f4e79"/>
                <w:sz w:val="22"/>
                <w:szCs w:val="22"/>
                <w:rtl w:val="0"/>
              </w:rPr>
              <w:t xml:space="preserve">nticipar mejor</w:t>
            </w:r>
            <w:r w:rsidDel="00000000" w:rsidR="00000000" w:rsidRPr="00000000">
              <w:rPr>
                <w:b w:val="1"/>
                <w:bCs w:val="1"/>
                <w:color w:val="1f4e79"/>
                <w:rtl w:val="0"/>
              </w:rPr>
              <w:t xml:space="preserve">: </w:t>
            </w:r>
            <w:r w:rsidDel="00000000" w:rsidR="00000000" w:rsidRPr="00000000">
              <w:rPr>
                <w:b w:val="1"/>
                <w:bCs w:val="1"/>
                <w:color w:val="1f4e79"/>
                <w:sz w:val="22"/>
                <w:szCs w:val="22"/>
                <w:rtl w:val="0"/>
              </w:rPr>
              <w:t xml:space="preserve">La reescritura de seguridad no estaba en el Plan de Riesgo y nos desvió el cronograma</w:t>
            </w:r>
            <w:r w:rsidDel="00000000" w:rsidR="00000000" w:rsidRPr="00000000">
              <w:rPr>
                <w:b w:val="1"/>
                <w:bCs w:val="1"/>
                <w:color w:val="1f4e79"/>
                <w:rtl w:val="0"/>
              </w:rPr>
              <w:t xml:space="preserve">.</w:t>
            </w:r>
          </w:p>
          <w:p w:rsidR="00000000" w:rsidDel="00000000" w:rsidP="00000000" w:rsidRDefault="00000000" w:rsidRPr="00000000" w14:paraId="0000001D">
            <w:pPr>
              <w:numPr>
                <w:ilvl w:val="0"/>
                <w:numId w:val="2"/>
              </w:numPr>
              <w:spacing w:after="0" w:afterAutospacing="0" w:lineRule="auto"/>
              <w:ind w:left="720" w:hanging="360"/>
              <w:jc w:val="both"/>
              <w:rPr>
                <w:b w:val="1"/>
                <w:bCs w:val="1"/>
                <w:color w:val="1f4e79"/>
                <w:u w:val="none"/>
              </w:rPr>
            </w:pPr>
            <w:r w:rsidDel="00000000" w:rsidR="00000000" w:rsidRPr="00000000">
              <w:rPr>
                <w:b w:val="1"/>
                <w:bCs w:val="1"/>
                <w:color w:val="1f4e79"/>
                <w:sz w:val="22"/>
                <w:szCs w:val="22"/>
                <w:rtl w:val="0"/>
              </w:rPr>
              <w:t xml:space="preserve">Mantener los documentos alineados con las decisiones técnicas. Hoy hay diferencias que me corresponde corregir: el Acta 3 indica Firebase Storage cuando usamos Supabase, la presentación y el diagrama de arquitectura mencionan Firebase Storage y Gemini 2.5</w:t>
            </w:r>
            <w:r w:rsidDel="00000000" w:rsidR="00000000" w:rsidRPr="00000000">
              <w:rPr>
                <w:b w:val="1"/>
                <w:bCs w:val="1"/>
                <w:color w:val="1f4e79"/>
                <w:rtl w:val="0"/>
              </w:rPr>
              <w:t xml:space="preserve">.</w:t>
            </w:r>
          </w:p>
          <w:p w:rsidR="00000000" w:rsidDel="00000000" w:rsidP="00000000" w:rsidRDefault="00000000" w:rsidRPr="00000000" w14:paraId="0000001E">
            <w:pPr>
              <w:numPr>
                <w:ilvl w:val="0"/>
                <w:numId w:val="2"/>
              </w:numPr>
              <w:spacing w:after="160" w:lineRule="auto"/>
              <w:ind w:left="720" w:hanging="360"/>
              <w:jc w:val="both"/>
              <w:rPr>
                <w:b w:val="1"/>
                <w:bCs w:val="1"/>
                <w:color w:val="1f4e79"/>
                <w:u w:val="none"/>
              </w:rPr>
            </w:pPr>
            <w:r w:rsidDel="00000000" w:rsidR="00000000" w:rsidRPr="00000000">
              <w:rPr>
                <w:b w:val="1"/>
                <w:bCs w:val="1"/>
                <w:color w:val="1f4e79"/>
                <w:sz w:val="22"/>
                <w:szCs w:val="22"/>
                <w:rtl w:val="0"/>
              </w:rPr>
              <w:t xml:space="preserve">Dejar confirmadas por escrito con el cliente las decisiones de alcance, como no guardar la foto de boletas y tickets, que en la reunión inicial se planteó solo como "quizás no es necesario".</w:t>
            </w:r>
          </w:p>
        </w:tc>
      </w:tr>
    </w:tbl>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spacing w:after="160" w:lineRule="auto"/>
              <w:jc w:val="both"/>
              <w:rPr>
                <w:b w:val="1"/>
                <w:bCs w:val="1"/>
                <w:color w:val="1f4e79"/>
                <w:sz w:val="22"/>
                <w:szCs w:val="22"/>
              </w:rPr>
            </w:pPr>
            <w:r w:rsidDel="00000000" w:rsidR="00000000" w:rsidRPr="00000000">
              <w:rPr>
                <w:b w:val="1"/>
                <w:bCs w:val="1"/>
                <w:color w:val="1f4e79"/>
                <w:sz w:val="22"/>
                <w:szCs w:val="22"/>
                <w:rtl w:val="0"/>
              </w:rPr>
              <w:t xml:space="preserve">Nuestra principal inquietud es cómo priorizar en el tramo final. El Sprint 5 concentra Beneficios, Integración, Dashboard, Notificaciones y QA, y lo evaluamos como riesgo crítico. Además, el cliente espera ver funcionando la Fase 1 (detección de pórticos y comparación de boletas) junto a los módulos nuevos, y nos pidió resolver mejoras de experiencia de usuario de esa fase que no estaban en nuestro alcance original.</w:t>
            </w:r>
          </w:p>
          <w:p w:rsidR="00000000" w:rsidDel="00000000" w:rsidP="00000000" w:rsidRDefault="00000000" w:rsidRPr="00000000" w14:paraId="00000024">
            <w:pPr>
              <w:spacing w:after="160" w:lineRule="auto"/>
              <w:jc w:val="both"/>
              <w:rPr>
                <w:b w:val="1"/>
                <w:bCs w:val="1"/>
                <w:color w:val="1f4e79"/>
              </w:rPr>
            </w:pPr>
            <w:r w:rsidDel="00000000" w:rsidR="00000000" w:rsidRPr="00000000">
              <w:rPr>
                <w:b w:val="1"/>
                <w:bCs w:val="1"/>
                <w:color w:val="1f4e79"/>
                <w:sz w:val="22"/>
                <w:szCs w:val="22"/>
                <w:rtl w:val="0"/>
              </w:rPr>
              <w:t xml:space="preserve">Preguntas para el docente:</w:t>
            </w:r>
            <w:r w:rsidDel="00000000" w:rsidR="00000000" w:rsidRPr="00000000">
              <w:rPr>
                <w:rtl w:val="0"/>
              </w:rPr>
            </w:r>
          </w:p>
          <w:p w:rsidR="00000000" w:rsidDel="00000000" w:rsidP="00000000" w:rsidRDefault="00000000" w:rsidRPr="00000000" w14:paraId="00000025">
            <w:pPr>
              <w:numPr>
                <w:ilvl w:val="0"/>
                <w:numId w:val="1"/>
              </w:numPr>
              <w:spacing w:after="0" w:afterAutospacing="0" w:lineRule="auto"/>
              <w:ind w:left="720" w:hanging="360"/>
              <w:jc w:val="both"/>
              <w:rPr>
                <w:b w:val="1"/>
                <w:bCs w:val="1"/>
                <w:color w:val="1f4e79"/>
                <w:sz w:val="22"/>
                <w:szCs w:val="22"/>
                <w:u w:val="none"/>
              </w:rPr>
            </w:pPr>
            <w:r w:rsidDel="00000000" w:rsidR="00000000" w:rsidRPr="00000000">
              <w:rPr>
                <w:b w:val="1"/>
                <w:bCs w:val="1"/>
                <w:color w:val="1f4e79"/>
                <w:sz w:val="22"/>
                <w:szCs w:val="22"/>
                <w:rtl w:val="0"/>
              </w:rPr>
              <w:t xml:space="preserve">Si debemos recortar alcance, ¿se valora más tener todos los módulos con menor sofisticación (por ejemplo, un cronómetro de estacionamiento simple) o menos módulos más pulidos?</w:t>
            </w:r>
            <w:r w:rsidDel="00000000" w:rsidR="00000000" w:rsidRPr="00000000">
              <w:rPr>
                <w:rtl w:val="0"/>
              </w:rPr>
            </w:r>
          </w:p>
          <w:p w:rsidR="00000000" w:rsidDel="00000000" w:rsidP="00000000" w:rsidRDefault="00000000" w:rsidRPr="00000000" w14:paraId="00000026">
            <w:pPr>
              <w:numPr>
                <w:ilvl w:val="0"/>
                <w:numId w:val="1"/>
              </w:numPr>
              <w:spacing w:after="0" w:afterAutospacing="0" w:lineRule="auto"/>
              <w:ind w:left="720" w:hanging="360"/>
              <w:jc w:val="both"/>
              <w:rPr>
                <w:b w:val="1"/>
                <w:bCs w:val="1"/>
                <w:color w:val="1f4e79"/>
                <w:sz w:val="22"/>
                <w:szCs w:val="22"/>
                <w:u w:val="none"/>
              </w:rPr>
            </w:pPr>
            <w:r w:rsidDel="00000000" w:rsidR="00000000" w:rsidRPr="00000000">
              <w:rPr>
                <w:b w:val="1"/>
                <w:bCs w:val="1"/>
                <w:color w:val="1f4e79"/>
                <w:sz w:val="22"/>
                <w:szCs w:val="22"/>
                <w:rtl w:val="0"/>
              </w:rPr>
              <w:t xml:space="preserve">Cambiamos decisiones técnicas respecto de lo entregado en la Fase 1 (almacenamiento en Supabase en lugar de Firebase Storage, modelo de Gemini, campo de usuario en las colecciones): ¿debemos </w:t>
            </w:r>
            <w:r w:rsidDel="00000000" w:rsidR="00000000" w:rsidRPr="00000000">
              <w:rPr>
                <w:b w:val="1"/>
                <w:bCs w:val="1"/>
                <w:color w:val="1f4e79"/>
                <w:rtl w:val="0"/>
              </w:rPr>
              <w:t xml:space="preserve">entregar</w:t>
            </w:r>
            <w:r w:rsidDel="00000000" w:rsidR="00000000" w:rsidRPr="00000000">
              <w:rPr>
                <w:b w:val="1"/>
                <w:bCs w:val="1"/>
                <w:color w:val="1f4e79"/>
                <w:sz w:val="22"/>
                <w:szCs w:val="22"/>
                <w:rtl w:val="0"/>
              </w:rPr>
              <w:t xml:space="preserve"> los documentos actualizados o basta con registrarlo como cambio en el Informe de Avance?</w:t>
            </w:r>
            <w:r w:rsidDel="00000000" w:rsidR="00000000" w:rsidRPr="00000000">
              <w:rPr>
                <w:rtl w:val="0"/>
              </w:rPr>
            </w:r>
          </w:p>
          <w:p w:rsidR="00000000" w:rsidDel="00000000" w:rsidP="00000000" w:rsidRDefault="00000000" w:rsidRPr="00000000" w14:paraId="00000027">
            <w:pPr>
              <w:numPr>
                <w:ilvl w:val="0"/>
                <w:numId w:val="1"/>
              </w:numPr>
              <w:spacing w:after="160" w:lineRule="auto"/>
              <w:ind w:left="720" w:hanging="360"/>
              <w:jc w:val="both"/>
              <w:rPr>
                <w:b w:val="1"/>
                <w:bCs w:val="1"/>
                <w:color w:val="1f4e79"/>
                <w:sz w:val="22"/>
                <w:szCs w:val="22"/>
                <w:u w:val="none"/>
              </w:rPr>
            </w:pPr>
            <w:r w:rsidDel="00000000" w:rsidR="00000000" w:rsidRPr="00000000">
              <w:rPr>
                <w:b w:val="1"/>
                <w:bCs w:val="1"/>
                <w:color w:val="1f4e79"/>
                <w:sz w:val="22"/>
                <w:szCs w:val="22"/>
                <w:rtl w:val="0"/>
              </w:rPr>
              <w:t xml:space="preserve">¿Hasta dónde se espera que asumamos los ajustes de la Fase 1 que solicita el cliente, considerando que en parte los realizará un tercero de Grupo Sentte?</w:t>
            </w:r>
          </w:p>
          <w:p w:rsidR="00000000" w:rsidDel="00000000" w:rsidP="00000000" w:rsidRDefault="00000000" w:rsidRPr="00000000" w14:paraId="00000028">
            <w:pPr>
              <w:spacing w:after="160" w:lineRule="auto"/>
              <w:jc w:val="both"/>
              <w:rPr>
                <w:b w:val="1"/>
                <w:bCs w:val="1"/>
                <w:color w:val="1f4e79"/>
                <w:sz w:val="22"/>
                <w:szCs w:val="22"/>
              </w:rPr>
            </w:pPr>
            <w:r w:rsidDel="00000000" w:rsidR="00000000" w:rsidRPr="00000000">
              <w:rPr>
                <w:b w:val="1"/>
                <w:bCs w:val="1"/>
                <w:color w:val="1f4e79"/>
                <w:sz w:val="22"/>
                <w:szCs w:val="22"/>
                <w:rtl w:val="0"/>
              </w:rPr>
              <w:t xml:space="preserve">Pregunta para los pares: ¿cómo han manejado en sus demos la dependencia de APIs de IA gratuitas que se saturan o se caen?</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spacing w:after="160"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Sí, consideramos que conviene redistribuir parcialmente, porque hoy la carga está concentrada. Estephany es responsable de arquitectura, base de datos, IA, seguridad y del Sprint 5 (Beneficios, Integración y Dashboard), y Almendra tiene a cargo el Sprint 4 con dos módulos (Estacionamientos y Combustible), además de QA. Proponemos que, al cerrar Mantenciones,</w:t>
            </w:r>
            <w:r w:rsidDel="00000000" w:rsidR="00000000" w:rsidRPr="00000000">
              <w:rPr>
                <w:color w:val="767171"/>
                <w:sz w:val="24"/>
                <w:szCs w:val="24"/>
                <w:rtl w:val="0"/>
              </w:rPr>
              <w:t xml:space="preserve"> yo</w:t>
            </w:r>
            <w:r w:rsidDel="00000000" w:rsidR="00000000" w:rsidRPr="00000000">
              <w:rPr>
                <w:rFonts w:ascii="Calibri" w:cs="Calibri" w:eastAsia="Calibri" w:hAnsi="Calibri"/>
                <w:color w:val="767171"/>
                <w:sz w:val="24"/>
                <w:szCs w:val="24"/>
                <w:rtl w:val="0"/>
              </w:rPr>
              <w:t xml:space="preserve"> apoye el Sprint 4 tomando Combustible y carga, que reutiliza el patrón de Mantenciones (modelo, servicio, pantallas y registro con IA), y asuma el catálogo de Beneficios del backoffice en el Sprint 5, de modo que Beneficios avance en paralelo como indica el Plan de Riesgo (R3). Estephany mantendría integración, dashboard y seguridad, y Almendra Estacionamientos y el plan de pruebas.</w:t>
            </w:r>
          </w:p>
          <w:p w:rsidR="00000000" w:rsidDel="00000000" w:rsidP="00000000" w:rsidRDefault="00000000" w:rsidRPr="00000000" w14:paraId="0000002E">
            <w:pPr>
              <w:spacing w:after="160"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Nuevas actividades a asignar: las notificaciones (épica EP-08, Sprint 5), que hoy no tienen responsable explícito, proponemos a Estephany con apoyo </w:t>
            </w:r>
            <w:r w:rsidDel="00000000" w:rsidR="00000000" w:rsidRPr="00000000">
              <w:rPr>
                <w:color w:val="767171"/>
                <w:sz w:val="24"/>
                <w:szCs w:val="24"/>
                <w:rtl w:val="0"/>
              </w:rPr>
              <w:t xml:space="preserve">de mi </w:t>
            </w:r>
            <w:r w:rsidDel="00000000" w:rsidR="00000000" w:rsidRPr="00000000">
              <w:rPr>
                <w:rFonts w:ascii="Calibri" w:cs="Calibri" w:eastAsia="Calibri" w:hAnsi="Calibri"/>
                <w:color w:val="767171"/>
                <w:sz w:val="24"/>
                <w:szCs w:val="24"/>
                <w:rtl w:val="0"/>
              </w:rPr>
              <w:t xml:space="preserve">en los recordatorios de mantención; la restricción de claves y la corrección de configuración, a Estephany; la pantalla de consentimiento de datos (RNF-012), a Almendra por su rol de UX/UI; y la regeneración de la APK, la coordinación con el tercero de Grupo Sentte sobre la Fase 1 y la actualización de la Matriz RACI, a </w:t>
            </w:r>
            <w:r w:rsidDel="00000000" w:rsidR="00000000" w:rsidRPr="00000000">
              <w:rPr>
                <w:color w:val="767171"/>
                <w:sz w:val="24"/>
                <w:szCs w:val="24"/>
                <w:rtl w:val="0"/>
              </w:rPr>
              <w:t xml:space="preserve">mi</w:t>
            </w:r>
            <w:r w:rsidDel="00000000" w:rsidR="00000000" w:rsidRPr="00000000">
              <w:rPr>
                <w:rFonts w:ascii="Calibri" w:cs="Calibri" w:eastAsia="Calibri" w:hAnsi="Calibri"/>
                <w:color w:val="767171"/>
                <w:sz w:val="24"/>
                <w:szCs w:val="24"/>
                <w:rtl w:val="0"/>
              </w:rPr>
              <w:t xml:space="preserve">. Esta propuesta debe validarse entre las tres antes de formalizarla.</w:t>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bookmarkStart w:colFirst="0" w:colLast="0" w:name="_heading=h.6d6sp321as89"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spacing w:after="160"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Evaluamos el trabajo en grupo como bueno y con roles claros: cada una domina un ámbito (gestión y documentación, UX/UI y calidad, arquitectura y datos) y, a la vez, procuramos que las tres conozcamos todo el proyecto, lo que se refleja, por ejemplo, en que nos repartimos la presentación del avance de Mi Vehículo ante el cliente. Destacamos la comunicación con Grupo Sentte, el trabajo sobre un repositorio compartido y la capacidad de reaccionar ante imprevistos, como el rediseño de seguridad, sin abandonar los compromisos de cada Sprint.</w:t>
            </w:r>
          </w:p>
          <w:p w:rsidR="00000000" w:rsidDel="00000000" w:rsidP="00000000" w:rsidRDefault="00000000" w:rsidRPr="00000000" w14:paraId="00000034">
            <w:pPr>
              <w:spacing w:after="160"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Como aspectos a mejorar: dejar evidencia del seguimiento interno semanal de avance real versus planificado que declaramos en el Plan de Riesgo; reducir la dependencia de una sola persona en arquitectura, base de datos e IA, documentando las decisiones técnicas para que las tres puedan sostenerlas en la presentación individual ante la comisión; y mantener la documentación sincronizada con lo desarrollado mediante una revisión cruzada al cierre de cada Sprint.</w:t>
            </w:r>
          </w:p>
          <w:p w:rsidR="00000000" w:rsidDel="00000000" w:rsidP="00000000" w:rsidRDefault="00000000" w:rsidRPr="00000000" w14:paraId="00000035">
            <w:pPr>
              <w:spacing w:after="160" w:lineRule="auto"/>
              <w:jc w:val="both"/>
              <w:rPr>
                <w:color w:val="767171"/>
                <w:sz w:val="24"/>
                <w:szCs w:val="24"/>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vzLk73AV21pLigHnZ6yeVNS+bw==">CgMxLjAyDmguNmQ2c3AzMjFhczg5OAByITFPY0FDMlZRd0RoaU1IazVnb2swNTRpSE5nTU5yWXZIZA==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