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Konzept zur Neuentwicklung des FabCollectionTool</w:t>
      </w:r>
    </w:p>
    <w:p>
      <w:pPr>
        <w:pBdr>
          <w:bottom w:val="single" w:color="BFBFBF" w:sz="6" w:space="8"/>
        </w:pBdr>
        <w:spacing w:after="240"/>
      </w:pPr>
      <w:r>
        <w:rPr>
          <w:color w:val="595959"/>
          <w:sz w:val="28"/>
          <w:szCs w:val="28"/>
        </w:rPr>
        <w:t xml:space="preserve">Entscheidungsvorlage</w:t>
      </w:r>
    </w:p>
    <w:p>
      <w:pPr>
        <w:spacing w:after="320"/>
      </w:pPr>
      <w:r>
        <w:rPr>
          <w:b/>
          <w:bCs/>
        </w:rPr>
        <w:t xml:space="preserve">Stand: </w:t>
      </w:r>
      <w:r>
        <w:t xml:space="preserve">22. September 2026    </w:t>
      </w:r>
      <w:r>
        <w:rPr>
          <w:b/>
          <w:bCs/>
        </w:rPr>
        <w:t xml:space="preserve">Grundlage: </w:t>
      </w:r>
      <w:r>
        <w:t xml:space="preserve">Code-Audit docs/AUDIT.md, Revision a384652 (Version 1.1.5)</w:t>
      </w:r>
    </w:p>
    <w:p>
      <w:pPr>
        <w:pStyle w:val="Heading1"/>
        <w:spacing w:after="160" w:before="320"/>
      </w:pPr>
      <w:r>
        <w:t xml:space="preserve">1. Management Summary</w:t>
      </w:r>
    </w:p>
    <w:p>
      <w:pPr>
        <w:spacing w:after="140"/>
      </w:pPr>
      <w:r>
        <w:t xml:space="preserve">Das FabCollectionTool erfüllt seinen Zweck, trägt aber ein strukturelles Qualitätsproblem: Es stürzt selten ab — es erzeugt still falsche Exportdateien. Das Code-Audit vom 22.09.2026 hat 27 Befunde ergeben, davon sechs mit hoher Schwere. Vier davon (C1, C2, C5, C14) haben dieselbe Wurzel: Kartenstammdaten werden von Hand in einer Tabelle gepflegt und müssen exakt der Schreibweise von Legend Story Studios entsprechen, und die Zuordnung von Tabellenspalten zu Datenfeldern erfolgt über Positionen statt über stabile Schlüssel.</w:t>
      </w:r>
    </w:p>
    <w:p>
      <w:pPr>
        <w:spacing w:after="140"/>
      </w:pPr>
      <w:r>
        <w:t xml:space="preserve">Eine Neuentwicklung sollte deshalb nicht bei der Oberfläche ansetzen, sondern bei der Datenhaltung. Die zentrale Empfehlung dieses Konzepts lautet: Kartenstammdaten nicht mehr selbst pflegen, sondern aus dem offenen, aktiv gepflegten Datensatz the-fab-cube/flesh-and-blood-cards beziehen, und als Schlüssel die Druck-Ebene (Printing) statt des Kartennamens verwenden. Damit entfällt eine ganze Fehlerklasse ersatzlos, statt sie sorgfältiger zu programmieren.</w:t>
      </w:r>
    </w:p>
    <w:p>
      <w:pPr>
        <w:spacing w:after="140"/>
      </w:pPr>
      <w:r>
        <w:t xml:space="preserve">Für die Exportqualität kommt ein zweiter, ebenso wichtiger Hebel hinzu: Fabrary liefert seine eigene Formatdefinition als Datei aus. Die vorliegende Referenzdatei docs/Fabrary Export Beispiel.csv mit 16.659 Zeilen wird bereits heute als Vorlage für die Importdatei verwendet — Export- und Importformat sind also identisch. Daraus folgt ein konkretes Verfahren: Die neue Anwendung übernimmt Identifier, Set, Set number, Edition, Foiling und Treatment unverändert aus dieser Datei und füllt nur die Mengenspalten. Damit ist die Namensfrage für Fabrary strukturell erledigt (Kapitel 4.2).</w:t>
      </w:r>
    </w:p>
    <w:p>
      <w:pPr>
        <w:spacing w:after="140"/>
      </w:pPr>
      <w:r>
        <w:t xml:space="preserve">Leitendes Kriterium für die Technologiewahl ist Zugänglichkeit: auschecken und benutzen, ohne vorher etwas zu installieren oder einzurichten. Dieses Kriterium schlägt auf beide Entscheidungen durch. Bei der Datenquelle wird deshalb nicht zu einer Datenbank geraten, sondern zu Textdateien im Repository: CSV ist in jedem Werkzeug editierbar, in Git zeilenweise nachvollziehbar und ohne Treiber lesbar. Für die Anwendung werden drei Alternativen vorgeschlagen, ohne Beschränkung auf eine Plattform oder einen Hersteller:</w:t>
      </w:r>
    </w:p>
    <w:p>
      <w:pPr>
        <w:pStyle w:val="ListParagraph"/>
        <w:numPr>
          <w:ilvl w:val="0"/>
          <w:numId w:val="2"/>
        </w:numPr>
        <w:spacing w:after="80"/>
      </w:pPr>
      <w:r>
        <w:rPr>
          <w:b/>
          <w:bCs/>
        </w:rPr>
        <w:t xml:space="preserve">Alternative A — Statische Web-Anwendung ohne Build-Schritt: </w:t>
      </w:r>
      <w:r>
        <w:t xml:space="preserve">eine in sich geschlossene HTML-Datei im Repository, im Browser zu öffnen. Keine Laufzeitumgebung, kein Paketmanager, keine Installation. Empfohlen.</w:t>
      </w:r>
    </w:p>
    <w:p>
      <w:pPr>
        <w:pStyle w:val="ListParagraph"/>
        <w:numPr>
          <w:ilvl w:val="0"/>
          <w:numId w:val="2"/>
        </w:numPr>
        <w:spacing w:after="80"/>
      </w:pPr>
      <w:r>
        <w:rPr>
          <w:b/>
          <w:bCs/>
        </w:rPr>
        <w:t xml:space="preserve">Alternative B — Ein eigenständiges Programm (Go) mit lokaler Weboberfläche: </w:t>
      </w:r>
      <w:r>
        <w:t xml:space="preserve">ein einzelnes Binary ohne Laufzeitabhängigkeit; umgeht alle Browser-Beschränkungen beim Dateizugriff.</w:t>
      </w:r>
    </w:p>
    <w:p>
      <w:pPr>
        <w:pStyle w:val="ListParagraph"/>
        <w:numPr>
          <w:ilvl w:val="0"/>
          <w:numId w:val="2"/>
        </w:numPr>
        <w:spacing w:after="80"/>
      </w:pPr>
      <w:r>
        <w:rPr>
          <w:b/>
          <w:bCs/>
        </w:rPr>
        <w:t xml:space="preserve">Alternative C — .NET als eigenständige Einzeldatei: </w:t>
      </w:r>
      <w:r>
        <w:t xml:space="preserve">führt die vorhandene Domänenlogik fort, ohne dass .NET installiert sein muss.</w:t>
      </w:r>
    </w:p>
    <w:p>
      <w:pPr>
        <w:spacing w:after="140"/>
      </w:pPr>
      <w:r>
        <w:t xml:space="preserve">Der geschätzte Gesamtaufwand liegt bei 30 bis 45 Personentagen über drei Ausbaustufen, wobei bereits die erste Stufe (Erfassung und Fabrary-Export) produktiv nutzbar ist. Alle Aufwandsangaben in diesem Dokument sind grobe Schätzungen.</w:t>
      </w:r>
    </w:p>
    <w:p>
      <w:pPr>
        <w:pStyle w:val="Heading1"/>
        <w:spacing w:after="160" w:before="320"/>
      </w:pPr>
      <w:r>
        <w:t xml:space="preserve">2. Ausgangslage und Problemanalyse</w:t>
      </w:r>
    </w:p>
    <w:p>
      <w:pPr>
        <w:spacing w:after="140"/>
      </w:pPr>
      <w:r>
        <w:t xml:space="preserve">Die heutige Lösung besteht aus einer LibreOffice-Calc-Datei, in der die Sammlung gepflegt wird, und einem .NET-6-Konsolenprogramm, das diese Datei liest und Importdateien für vier Zielsysteme schreibt: Fabrary, Cardmarket, Dragonshield und TCG Powertools. Das Audit hat die Einzelbefunde dokumentiert; für dieses Konzept zählen die Ursachen dahinter.</w:t>
      </w:r>
    </w:p>
    <w:p>
      <w:pPr>
        <w:pStyle w:val="Heading2"/>
        <w:spacing w:after="120" w:before="240"/>
      </w:pPr>
      <w:r>
        <w:t xml:space="preserve">2.1 Drei Fehlerklassen</w:t>
      </w:r>
    </w:p>
    <w:p>
      <w:pPr>
        <w:pStyle w:val="ListParagraph"/>
        <w:numPr>
          <w:ilvl w:val="0"/>
          <w:numId w:val="2"/>
        </w:numPr>
        <w:spacing w:after="80"/>
      </w:pPr>
      <w:r>
        <w:rPr>
          <w:b/>
          <w:bCs/>
        </w:rPr>
        <w:t xml:space="preserve">Handgepflegte Stammdaten. </w:t>
      </w:r>
      <w:r>
        <w:t xml:space="preserve">Kartennamen, Set-Codes, Rarities und Editionen werden getippt. Weicht eine Schreibweise ab, landet die Karte im Zielsystem falsch oder gar nicht. Hierher gehören die Audit-Befunde C5 (falsche Namenskorrektur) und C14: Die Set-Abkürzungstabelle im Code kennt 15 Set-Codes. Die Fabrary-Referenzdatei enthält 116. Das Tool kennt also rund 13 Prozent der Set-Codes; alle übrigen Karten werden pauschal nicht als Nachdruck erkannt, weshalb Fabrary zu wenige Karten als tauschbar gemeldet bekommt.</w:t>
      </w:r>
    </w:p>
    <w:p>
      <w:pPr>
        <w:pStyle w:val="ListParagraph"/>
        <w:numPr>
          <w:ilvl w:val="0"/>
          <w:numId w:val="2"/>
        </w:numPr>
        <w:spacing w:after="80"/>
      </w:pPr>
      <w:r>
        <w:rPr>
          <w:b/>
          <w:bCs/>
        </w:rPr>
        <w:t xml:space="preserve">Positionsbasiertes Spalten-Mapping. </w:t>
      </w:r>
      <w:r>
        <w:t xml:space="preserve">Die Zuordnung Spalte → Feld läuft über Zählindizes. Fehlt eine Kopfzeile oder ist sie vertippt, zeigt der Index auf Spalte 0 — eine gültige Spalte — und das Feld wird still aus der falschen Quelle gefüllt (C2). Zusätzlich verwenden Kopfzeilen- und Datenzeilen-Parser zwei verschiedene Index-Begriffe (C1).</w:t>
      </w:r>
    </w:p>
    <w:p>
      <w:pPr>
        <w:pStyle w:val="ListParagraph"/>
        <w:numPr>
          <w:ilvl w:val="0"/>
          <w:numId w:val="2"/>
        </w:numPr>
        <w:spacing w:after="80"/>
      </w:pPr>
      <w:r>
        <w:rPr>
          <w:b/>
          <w:bCs/>
        </w:rPr>
        <w:t xml:space="preserve">Kein Feedback. </w:t>
      </w:r>
      <w:r>
        <w:t xml:space="preserve">Nach einem Export erscheint eine einzige Zeile — kein Zeilenzähler, kein Pfad, keine Liste übersprungener Karten (D5). Genau deshalb bleiben die beiden ersten Fehlerklassen unsichtbar: Ein falscher Export sieht aus wie ein richtiger.</w:t>
      </w:r>
    </w:p>
    <w:p>
      <w:pPr>
        <w:pStyle w:val="Heading2"/>
        <w:spacing w:after="120" w:before="240"/>
      </w:pPr>
      <w:r>
        <w:t xml:space="preserve">2.2 Kennzahlen der heutigen Datenquelle</w:t>
      </w:r>
    </w:p>
    <w:p>
      <w:pPr>
        <w:spacing w:after="140"/>
      </w:pPr>
      <w:r>
        <w:t xml:space="preserve">Die Beispieldatei docs/example.ods wurde für dieses Konzept vermessen. Die Werte erklären die heutigen Komfort- und Performanceprobleme vollständig:</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4513"/>
        <w:gridCol w:w="4513"/>
      </w:tblGrid>
      <w:tr>
        <w:trPr>
          <w:tblHeader/>
        </w:trPr>
        <w:tc>
          <w:tcPr>
            <w:tcW w:type="dxa" w:w="4513"/>
            <w:shd w:fill="E7E6E6" w:val="clear"/>
            <w:tcMar>
              <w:top w:type="dxa" w:w="60"/>
              <w:left w:type="dxa" w:w="110"/>
              <w:bottom w:type="dxa" w:w="60"/>
              <w:right w:type="dxa" w:w="110"/>
            </w:tcMar>
          </w:tcPr>
          <w:p>
            <w:pPr>
              <w:spacing w:after="0"/>
              <w:jc w:val="left"/>
            </w:pPr>
            <w:r>
              <w:rPr>
                <w:b/>
                <w:bCs/>
                <w:sz w:val="20"/>
                <w:szCs w:val="20"/>
              </w:rPr>
              <w:t xml:space="preserve">Messwert</w:t>
            </w:r>
          </w:p>
        </w:tc>
        <w:tc>
          <w:tcPr>
            <w:tcW w:type="dxa" w:w="4513"/>
            <w:shd w:fill="E7E6E6" w:val="clear"/>
            <w:tcMar>
              <w:top w:type="dxa" w:w="60"/>
              <w:left w:type="dxa" w:w="110"/>
              <w:bottom w:type="dxa" w:w="60"/>
              <w:right w:type="dxa" w:w="110"/>
            </w:tcMar>
          </w:tcPr>
          <w:p>
            <w:pPr>
              <w:spacing w:after="0"/>
              <w:jc w:val="left"/>
            </w:pPr>
            <w:r>
              <w:rPr>
                <w:b/>
                <w:bCs/>
                <w:sz w:val="20"/>
                <w:szCs w:val="20"/>
              </w:rPr>
              <w:t xml:space="preserve">Wert</w:t>
            </w:r>
          </w:p>
        </w:tc>
      </w:tr>
      <w:tr>
        <w:trPr>
          <w:tblHeader w:val="false"/>
        </w:trPr>
        <w:tc>
          <w:tcPr>
            <w:tcW w:type="dxa" w:w="4513"/>
            <w:tcMar>
              <w:top w:type="dxa" w:w="60"/>
              <w:left w:type="dxa" w:w="110"/>
              <w:bottom w:type="dxa" w:w="60"/>
              <w:right w:type="dxa" w:w="110"/>
            </w:tcMar>
          </w:tcPr>
          <w:p>
            <w:pPr>
              <w:spacing w:after="0"/>
              <w:jc w:val="left"/>
            </w:pPr>
            <w:r>
              <w:rPr>
                <w:b w:val="false"/>
                <w:bCs w:val="false"/>
                <w:sz w:val="20"/>
                <w:szCs w:val="20"/>
              </w:rPr>
              <w:t xml:space="preserve">Datei gepackt</w:t>
            </w:r>
          </w:p>
        </w:tc>
        <w:tc>
          <w:tcPr>
            <w:tcW w:type="dxa" w:w="4513"/>
            <w:tcMar>
              <w:top w:type="dxa" w:w="60"/>
              <w:left w:type="dxa" w:w="110"/>
              <w:bottom w:type="dxa" w:w="60"/>
              <w:right w:type="dxa" w:w="110"/>
            </w:tcMar>
          </w:tcPr>
          <w:p>
            <w:pPr>
              <w:spacing w:after="0"/>
              <w:jc w:val="left"/>
            </w:pPr>
            <w:r>
              <w:rPr>
                <w:b w:val="false"/>
                <w:bCs w:val="false"/>
                <w:sz w:val="20"/>
                <w:szCs w:val="20"/>
              </w:rPr>
              <w:t xml:space="preserve">860 KB</w:t>
            </w:r>
          </w:p>
        </w:tc>
      </w:tr>
      <w:tr>
        <w:trPr>
          <w:tblHeader w:val="false"/>
        </w:trPr>
        <w:tc>
          <w:tcPr>
            <w:tcW w:type="dxa" w:w="4513"/>
            <w:tcMar>
              <w:top w:type="dxa" w:w="60"/>
              <w:left w:type="dxa" w:w="110"/>
              <w:bottom w:type="dxa" w:w="60"/>
              <w:right w:type="dxa" w:w="110"/>
            </w:tcMar>
          </w:tcPr>
          <w:p>
            <w:pPr>
              <w:spacing w:after="0"/>
              <w:jc w:val="left"/>
            </w:pPr>
            <w:r>
              <w:rPr>
                <w:b w:val="false"/>
                <w:bCs w:val="false"/>
                <w:sz w:val="20"/>
                <w:szCs w:val="20"/>
              </w:rPr>
              <w:t xml:space="preserve">content.xml entpackt</w:t>
            </w:r>
          </w:p>
        </w:tc>
        <w:tc>
          <w:tcPr>
            <w:tcW w:type="dxa" w:w="4513"/>
            <w:tcMar>
              <w:top w:type="dxa" w:w="60"/>
              <w:left w:type="dxa" w:w="110"/>
              <w:bottom w:type="dxa" w:w="60"/>
              <w:right w:type="dxa" w:w="110"/>
            </w:tcMar>
          </w:tcPr>
          <w:p>
            <w:pPr>
              <w:spacing w:after="0"/>
              <w:jc w:val="left"/>
            </w:pPr>
            <w:r>
              <w:rPr>
                <w:b w:val="false"/>
                <w:bCs w:val="false"/>
                <w:sz w:val="20"/>
                <w:szCs w:val="20"/>
              </w:rPr>
              <w:t xml:space="preserve">28,9 MB</w:t>
            </w:r>
          </w:p>
        </w:tc>
      </w:tr>
      <w:tr>
        <w:trPr>
          <w:tblHeader w:val="false"/>
        </w:trPr>
        <w:tc>
          <w:tcPr>
            <w:tcW w:type="dxa" w:w="4513"/>
            <w:tcMar>
              <w:top w:type="dxa" w:w="60"/>
              <w:left w:type="dxa" w:w="110"/>
              <w:bottom w:type="dxa" w:w="60"/>
              <w:right w:type="dxa" w:w="110"/>
            </w:tcMar>
          </w:tcPr>
          <w:p>
            <w:pPr>
              <w:spacing w:after="0"/>
              <w:jc w:val="left"/>
            </w:pPr>
            <w:r>
              <w:rPr>
                <w:b w:val="false"/>
                <w:bCs w:val="false"/>
                <w:sz w:val="20"/>
                <w:szCs w:val="20"/>
              </w:rPr>
              <w:t xml:space="preserve">Arbeitsblätter</w:t>
            </w:r>
          </w:p>
        </w:tc>
        <w:tc>
          <w:tcPr>
            <w:tcW w:type="dxa" w:w="4513"/>
            <w:tcMar>
              <w:top w:type="dxa" w:w="60"/>
              <w:left w:type="dxa" w:w="110"/>
              <w:bottom w:type="dxa" w:w="60"/>
              <w:right w:type="dxa" w:w="110"/>
            </w:tcMar>
          </w:tcPr>
          <w:p>
            <w:pPr>
              <w:spacing w:after="0"/>
              <w:jc w:val="left"/>
            </w:pPr>
            <w:r>
              <w:rPr>
                <w:b w:val="false"/>
                <w:bCs w:val="false"/>
                <w:sz w:val="20"/>
                <w:szCs w:val="20"/>
              </w:rPr>
              <w:t xml:space="preserve">2 (Cardlist, Data)</w:t>
            </w:r>
          </w:p>
        </w:tc>
      </w:tr>
      <w:tr>
        <w:trPr>
          <w:tblHeader w:val="false"/>
        </w:trPr>
        <w:tc>
          <w:tcPr>
            <w:tcW w:type="dxa" w:w="4513"/>
            <w:tcMar>
              <w:top w:type="dxa" w:w="60"/>
              <w:left w:type="dxa" w:w="110"/>
              <w:bottom w:type="dxa" w:w="60"/>
              <w:right w:type="dxa" w:w="110"/>
            </w:tcMar>
          </w:tcPr>
          <w:p>
            <w:pPr>
              <w:spacing w:after="0"/>
              <w:jc w:val="left"/>
            </w:pPr>
            <w:r>
              <w:rPr>
                <w:b w:val="false"/>
                <w:bCs w:val="false"/>
                <w:sz w:val="20"/>
                <w:szCs w:val="20"/>
              </w:rPr>
              <w:t xml:space="preserve">Zeilen in Cardlist</w:t>
            </w:r>
          </w:p>
        </w:tc>
        <w:tc>
          <w:tcPr>
            <w:tcW w:type="dxa" w:w="4513"/>
            <w:tcMar>
              <w:top w:type="dxa" w:w="60"/>
              <w:left w:type="dxa" w:w="110"/>
              <w:bottom w:type="dxa" w:w="60"/>
              <w:right w:type="dxa" w:w="110"/>
            </w:tcMar>
          </w:tcPr>
          <w:p>
            <w:pPr>
              <w:spacing w:after="0"/>
              <w:jc w:val="left"/>
            </w:pPr>
            <w:r>
              <w:rPr>
                <w:b w:val="false"/>
                <w:bCs w:val="false"/>
                <w:sz w:val="20"/>
                <w:szCs w:val="20"/>
              </w:rPr>
              <w:t xml:space="preserve">6.895</w:t>
            </w:r>
          </w:p>
        </w:tc>
      </w:tr>
      <w:tr>
        <w:trPr>
          <w:tblHeader w:val="false"/>
        </w:trPr>
        <w:tc>
          <w:tcPr>
            <w:tcW w:type="dxa" w:w="4513"/>
            <w:tcMar>
              <w:top w:type="dxa" w:w="60"/>
              <w:left w:type="dxa" w:w="110"/>
              <w:bottom w:type="dxa" w:w="60"/>
              <w:right w:type="dxa" w:w="110"/>
            </w:tcMar>
          </w:tcPr>
          <w:p>
            <w:pPr>
              <w:spacing w:after="0"/>
              <w:jc w:val="left"/>
            </w:pPr>
            <w:r>
              <w:rPr>
                <w:b w:val="false"/>
                <w:bCs w:val="false"/>
                <w:sz w:val="20"/>
                <w:szCs w:val="20"/>
              </w:rPr>
              <w:t xml:space="preserve">Zellen in Cardlist</w:t>
            </w:r>
          </w:p>
        </w:tc>
        <w:tc>
          <w:tcPr>
            <w:tcW w:type="dxa" w:w="4513"/>
            <w:tcMar>
              <w:top w:type="dxa" w:w="60"/>
              <w:left w:type="dxa" w:w="110"/>
              <w:bottom w:type="dxa" w:w="60"/>
              <w:right w:type="dxa" w:w="110"/>
            </w:tcMar>
          </w:tcPr>
          <w:p>
            <w:pPr>
              <w:spacing w:after="0"/>
              <w:jc w:val="left"/>
            </w:pPr>
            <w:r>
              <w:rPr>
                <w:b w:val="false"/>
                <w:bCs w:val="false"/>
                <w:sz w:val="20"/>
                <w:szCs w:val="20"/>
              </w:rPr>
              <w:t xml:space="preserve">175.534</w:t>
            </w:r>
          </w:p>
        </w:tc>
      </w:tr>
      <w:tr>
        <w:trPr>
          <w:tblHeader w:val="false"/>
        </w:trPr>
        <w:tc>
          <w:tcPr>
            <w:tcW w:type="dxa" w:w="4513"/>
            <w:tcMar>
              <w:top w:type="dxa" w:w="60"/>
              <w:left w:type="dxa" w:w="110"/>
              <w:bottom w:type="dxa" w:w="60"/>
              <w:right w:type="dxa" w:w="110"/>
            </w:tcMar>
          </w:tcPr>
          <w:p>
            <w:pPr>
              <w:spacing w:after="0"/>
              <w:jc w:val="left"/>
            </w:pPr>
            <w:r>
              <w:rPr>
                <w:b w:val="false"/>
                <w:bCs w:val="false"/>
                <w:sz w:val="20"/>
                <w:szCs w:val="20"/>
              </w:rPr>
              <w:t xml:space="preserve">Formeln in Cardlist</w:t>
            </w:r>
          </w:p>
        </w:tc>
        <w:tc>
          <w:tcPr>
            <w:tcW w:type="dxa" w:w="4513"/>
            <w:tcMar>
              <w:top w:type="dxa" w:w="60"/>
              <w:left w:type="dxa" w:w="110"/>
              <w:bottom w:type="dxa" w:w="60"/>
              <w:right w:type="dxa" w:w="110"/>
            </w:tcMar>
          </w:tcPr>
          <w:p>
            <w:pPr>
              <w:spacing w:after="0"/>
              <w:jc w:val="left"/>
            </w:pPr>
            <w:r>
              <w:rPr>
                <w:b w:val="false"/>
                <w:bCs w:val="false"/>
                <w:sz w:val="20"/>
                <w:szCs w:val="20"/>
              </w:rPr>
              <w:t xml:space="preserve">39.432</w:t>
            </w:r>
          </w:p>
        </w:tc>
      </w:tr>
      <w:tr>
        <w:trPr>
          <w:tblHeader w:val="false"/>
        </w:trPr>
        <w:tc>
          <w:tcPr>
            <w:tcW w:type="dxa" w:w="4513"/>
            <w:tcMar>
              <w:top w:type="dxa" w:w="60"/>
              <w:left w:type="dxa" w:w="110"/>
              <w:bottom w:type="dxa" w:w="60"/>
              <w:right w:type="dxa" w:w="110"/>
            </w:tcMar>
          </w:tcPr>
          <w:p>
            <w:pPr>
              <w:spacing w:after="0"/>
              <w:jc w:val="left"/>
            </w:pPr>
            <w:r>
              <w:rPr>
                <w:b w:val="false"/>
                <w:bCs w:val="false"/>
                <w:sz w:val="20"/>
                <w:szCs w:val="20"/>
              </w:rPr>
              <w:t xml:space="preserve">Spalten in der Kopfzeile</w:t>
            </w:r>
          </w:p>
        </w:tc>
        <w:tc>
          <w:tcPr>
            <w:tcW w:type="dxa" w:w="4513"/>
            <w:tcMar>
              <w:top w:type="dxa" w:w="60"/>
              <w:left w:type="dxa" w:w="110"/>
              <w:bottom w:type="dxa" w:w="60"/>
              <w:right w:type="dxa" w:w="110"/>
            </w:tcMar>
          </w:tcPr>
          <w:p>
            <w:pPr>
              <w:spacing w:after="0"/>
              <w:jc w:val="left"/>
            </w:pPr>
            <w:r>
              <w:rPr>
                <w:b w:val="false"/>
                <w:bCs w:val="false"/>
                <w:sz w:val="20"/>
                <w:szCs w:val="20"/>
              </w:rPr>
              <w:t xml:space="preserve">31</w:t>
            </w:r>
          </w:p>
        </w:tc>
      </w:tr>
      <w:tr>
        <w:trPr>
          <w:tblHeader w:val="false"/>
        </w:trPr>
        <w:tc>
          <w:tcPr>
            <w:tcW w:type="dxa" w:w="4513"/>
            <w:tcMar>
              <w:top w:type="dxa" w:w="60"/>
              <w:left w:type="dxa" w:w="110"/>
              <w:bottom w:type="dxa" w:w="60"/>
              <w:right w:type="dxa" w:w="110"/>
            </w:tcMar>
          </w:tcPr>
          <w:p>
            <w:pPr>
              <w:spacing w:after="0"/>
              <w:jc w:val="left"/>
            </w:pPr>
            <w:r>
              <w:rPr>
                <w:b w:val="false"/>
                <w:bCs w:val="false"/>
                <w:sz w:val="20"/>
                <w:szCs w:val="20"/>
              </w:rPr>
              <w:t xml:space="preserve">Dropdown-Validierungen</w:t>
            </w:r>
          </w:p>
        </w:tc>
        <w:tc>
          <w:tcPr>
            <w:tcW w:type="dxa" w:w="4513"/>
            <w:tcMar>
              <w:top w:type="dxa" w:w="60"/>
              <w:left w:type="dxa" w:w="110"/>
              <w:bottom w:type="dxa" w:w="60"/>
              <w:right w:type="dxa" w:w="110"/>
            </w:tcMar>
          </w:tcPr>
          <w:p>
            <w:pPr>
              <w:spacing w:after="0"/>
              <w:jc w:val="left"/>
            </w:pPr>
            <w:r>
              <w:rPr>
                <w:b w:val="false"/>
                <w:bCs w:val="false"/>
                <w:sz w:val="20"/>
                <w:szCs w:val="20"/>
              </w:rPr>
              <w:t xml:space="preserve">13</w:t>
            </w:r>
          </w:p>
        </w:tc>
      </w:tr>
      <w:tr>
        <w:trPr>
          <w:tblHeader w:val="false"/>
        </w:trPr>
        <w:tc>
          <w:tcPr>
            <w:tcW w:type="dxa" w:w="4513"/>
            <w:tcMar>
              <w:top w:type="dxa" w:w="60"/>
              <w:left w:type="dxa" w:w="110"/>
              <w:bottom w:type="dxa" w:w="60"/>
              <w:right w:type="dxa" w:w="110"/>
            </w:tcMar>
          </w:tcPr>
          <w:p>
            <w:pPr>
              <w:spacing w:after="0"/>
              <w:jc w:val="left"/>
            </w:pPr>
            <w:r>
              <w:rPr>
                <w:b w:val="false"/>
                <w:bCs w:val="false"/>
                <w:sz w:val="20"/>
                <w:szCs w:val="20"/>
              </w:rPr>
              <w:t xml:space="preserve">Benannte Bereiche</w:t>
            </w:r>
          </w:p>
        </w:tc>
        <w:tc>
          <w:tcPr>
            <w:tcW w:type="dxa" w:w="4513"/>
            <w:tcMar>
              <w:top w:type="dxa" w:w="60"/>
              <w:left w:type="dxa" w:w="110"/>
              <w:bottom w:type="dxa" w:w="60"/>
              <w:right w:type="dxa" w:w="110"/>
            </w:tcMar>
          </w:tcPr>
          <w:p>
            <w:pPr>
              <w:spacing w:after="0"/>
              <w:jc w:val="left"/>
            </w:pPr>
            <w:r>
              <w:rPr>
                <w:b w:val="false"/>
                <w:bCs w:val="false"/>
                <w:sz w:val="20"/>
                <w:szCs w:val="20"/>
              </w:rPr>
              <w:t xml:space="preserve">16</w:t>
            </w:r>
          </w:p>
        </w:tc>
      </w:tr>
      <w:tr>
        <w:trPr>
          <w:tblHeader w:val="false"/>
        </w:trPr>
        <w:tc>
          <w:tcPr>
            <w:tcW w:type="dxa" w:w="4513"/>
            <w:tcMar>
              <w:top w:type="dxa" w:w="60"/>
              <w:left w:type="dxa" w:w="110"/>
              <w:bottom w:type="dxa" w:w="60"/>
              <w:right w:type="dxa" w:w="110"/>
            </w:tcMar>
          </w:tcPr>
          <w:p>
            <w:pPr>
              <w:spacing w:after="0"/>
              <w:jc w:val="left"/>
            </w:pPr>
            <w:r>
              <w:rPr>
                <w:b w:val="false"/>
                <w:bCs w:val="false"/>
                <w:sz w:val="20"/>
                <w:szCs w:val="20"/>
              </w:rPr>
              <w:t xml:space="preserve">Bedingte Formatierungen</w:t>
            </w:r>
          </w:p>
        </w:tc>
        <w:tc>
          <w:tcPr>
            <w:tcW w:type="dxa" w:w="4513"/>
            <w:tcMar>
              <w:top w:type="dxa" w:w="60"/>
              <w:left w:type="dxa" w:w="110"/>
              <w:bottom w:type="dxa" w:w="60"/>
              <w:right w:type="dxa" w:w="110"/>
            </w:tcMar>
          </w:tcPr>
          <w:p>
            <w:pPr>
              <w:spacing w:after="0"/>
              <w:jc w:val="left"/>
            </w:pPr>
            <w:r>
              <w:rPr>
                <w:b w:val="false"/>
                <w:bCs w:val="false"/>
                <w:sz w:val="20"/>
                <w:szCs w:val="20"/>
              </w:rPr>
              <w:t xml:space="preserve">8</w:t>
            </w:r>
          </w:p>
        </w:tc>
      </w:tr>
    </w:tbl>
    <w:p>
      <w:pPr>
        <w:spacing w:after="200" w:before="60"/>
      </w:pPr>
      <w:r>
        <w:rPr>
          <w:i/>
          <w:iCs/>
          <w:color w:val="595959"/>
          <w:sz w:val="18"/>
          <w:szCs w:val="18"/>
        </w:rPr>
        <w:t xml:space="preserve">Gemessen an docs/example.ods, Stand Revision a384652.</w:t>
      </w:r>
    </w:p>
    <w:p>
      <w:pPr>
        <w:spacing w:after="140"/>
      </w:pPr>
      <w:r>
        <w:t xml:space="preserve">Aus diesen Zahlen folgen drei Aussagen:</w:t>
      </w:r>
    </w:p>
    <w:p>
      <w:pPr>
        <w:pStyle w:val="ListParagraph"/>
        <w:numPr>
          <w:ilvl w:val="0"/>
          <w:numId w:val="2"/>
        </w:numPr>
        <w:spacing w:after="80"/>
      </w:pPr>
      <w:r>
        <w:rPr>
          <w:b/>
          <w:bCs/>
        </w:rPr>
        <w:t xml:space="preserve">Die Tabelle steht exakt am Parser-Limit. </w:t>
      </w:r>
      <w:r>
        <w:t xml:space="preserve">Die Kopfzeile hat 31 Spalten, also die Indizes 0 bis 30. Der Parser bricht bei Index größer 30 ab (ParseOds.cs:376, RowIndexMap.cs:57). Eine einzige zusätzliche Spalte kippt den Import — obwohl die readme in Zeile 63 ausdrücklich erlaubt, weitere Spalten anzulegen.</w:t>
      </w:r>
    </w:p>
    <w:p>
      <w:pPr>
        <w:pStyle w:val="ListParagraph"/>
        <w:numPr>
          <w:ilvl w:val="0"/>
          <w:numId w:val="2"/>
        </w:numPr>
        <w:spacing w:after="80"/>
      </w:pPr>
      <w:r>
        <w:rPr>
          <w:b/>
          <w:bCs/>
        </w:rPr>
        <w:t xml:space="preserve">Sechs Spalten rechnen doppelt. </w:t>
      </w:r>
      <w:r>
        <w:t xml:space="preserve">„Have (this)“, „Need (set)“, „Left (this)“, „Have (total)“, „Need (total)“ und „Left (total)“ sind Formelspalten und berechnen genau das, was die Anwendung in ImportResult.cs ohnehin berechnet. Sechs Spalten mal rund 6.900 Zeilen ergibt etwa 41.000 Formeln — das deckt sich mit den gemessenen 39.432.</w:t>
      </w:r>
    </w:p>
    <w:p>
      <w:pPr>
        <w:pStyle w:val="ListParagraph"/>
        <w:numPr>
          <w:ilvl w:val="0"/>
          <w:numId w:val="2"/>
        </w:numPr>
        <w:spacing w:after="80"/>
      </w:pPr>
      <w:r>
        <w:rPr>
          <w:b/>
          <w:bCs/>
        </w:rPr>
        <w:t xml:space="preserve">Daraus folgt die Trägheit direkt. </w:t>
      </w:r>
      <w:r>
        <w:t xml:space="preserve">Diese Formeln blähen content.xml auf 28,9 MB auf. Deshalb empfiehlt die readme, die automatische Berechnung abzuschalten, deshalb meldet das Tool „This may take some time“, und deshalb fällt die ineffiziente Leseschleife (C10) überhaupt ins Gewicht. Die Tabelle bezahlt mit Dateigröße, Ladezeit und Bedienkomfort für eine Rechnung, die die Anwendung ohnehin anstellt.</w:t>
      </w:r>
    </w:p>
    <w:p>
      <w:pPr>
        <w:spacing w:after="140"/>
      </w:pPr>
      <w:r>
        <w:t xml:space="preserve">Ein Nebenbefund zeigt dasselbe Muster: Die Spalten „Translated Name“ und „Translated Backside Name“ werden gepflegt, vom Parser aber gar nicht ausgelesen.</w:t>
      </w:r>
    </w:p>
    <w:p>
      <w:pPr>
        <w:pStyle w:val="Heading1"/>
        <w:spacing w:after="160" w:before="320"/>
      </w:pPr>
      <w:r>
        <w:t xml:space="preserve">3. Untersuchung der Datenquelle</w:t>
      </w:r>
    </w:p>
    <w:p>
      <w:pPr>
        <w:spacing w:after="140"/>
      </w:pPr>
      <w:r>
        <w:t xml:space="preserve">Die Tabellenkalkulation ist nicht grundlos gewählt: Sie liefert Filter, Sortierung, Copy-und-Paste, Massenbearbeitung, bedingte Formatierung und Backup per Dateikopie — ohne eine Zeile Code. Genau dieser Komfort ist die Messlatte für jede Alternative. Bezahlt wird er mit der fehlenden Datenintegrität: Eine Tabelle kennt keine Fremdschlüssel, keine Pflichtfelder und keine Typen, und die 13 Dropdowns sind Bedienhilfen, keine Garantien.</w:t>
      </w:r>
    </w:p>
    <w:p>
      <w:pPr>
        <w:pStyle w:val="Heading2"/>
        <w:spacing w:after="120" w:before="240"/>
      </w:pPr>
      <w:r>
        <w:t xml:space="preserve">3.1 Vier Optionen im Vergleich</w:t>
      </w:r>
    </w:p>
    <w:p>
      <w:pPr>
        <w:spacing w:after="140"/>
      </w:pPr>
      <w:r>
        <w:t xml:space="preserve">Neben Eignung und Komfort wird hier ausdrücklich die Zugänglichkeit bewertet: Was muss vorhanden sein, damit die Daten gelesen und bearbeitet werden können?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620"/>
        <w:gridCol w:w="2206"/>
        <w:gridCol w:w="3100"/>
        <w:gridCol w:w="3100"/>
      </w:tblGrid>
      <w:tr>
        <w:trPr>
          <w:tblHeader/>
        </w:trPr>
        <w:tc>
          <w:tcPr>
            <w:tcW w:type="dxa" w:w="620"/>
            <w:shd w:fill="E7E6E6" w:val="clear"/>
            <w:tcMar>
              <w:top w:type="dxa" w:w="60"/>
              <w:left w:type="dxa" w:w="110"/>
              <w:bottom w:type="dxa" w:w="60"/>
              <w:right w:type="dxa" w:w="110"/>
            </w:tcMar>
          </w:tcPr>
          <w:p>
            <w:pPr>
              <w:spacing w:after="0"/>
              <w:jc w:val="left"/>
            </w:pPr>
            <w:r>
              <w:rPr>
                <w:b/>
                <w:bCs/>
                <w:sz w:val="18"/>
                <w:szCs w:val="18"/>
              </w:rPr>
              <w:t xml:space="preserve">Nr.</w:t>
            </w:r>
          </w:p>
        </w:tc>
        <w:tc>
          <w:tcPr>
            <w:tcW w:type="dxa" w:w="2206"/>
            <w:shd w:fill="E7E6E6" w:val="clear"/>
            <w:tcMar>
              <w:top w:type="dxa" w:w="60"/>
              <w:left w:type="dxa" w:w="110"/>
              <w:bottom w:type="dxa" w:w="60"/>
              <w:right w:type="dxa" w:w="110"/>
            </w:tcMar>
          </w:tcPr>
          <w:p>
            <w:pPr>
              <w:spacing w:after="0"/>
              <w:jc w:val="left"/>
            </w:pPr>
            <w:r>
              <w:rPr>
                <w:b/>
                <w:bCs/>
                <w:sz w:val="18"/>
                <w:szCs w:val="18"/>
              </w:rPr>
              <w:t xml:space="preserve">Ansatz</w:t>
            </w:r>
          </w:p>
        </w:tc>
        <w:tc>
          <w:tcPr>
            <w:tcW w:type="dxa" w:w="3100"/>
            <w:shd w:fill="E7E6E6" w:val="clear"/>
            <w:tcMar>
              <w:top w:type="dxa" w:w="60"/>
              <w:left w:type="dxa" w:w="110"/>
              <w:bottom w:type="dxa" w:w="60"/>
              <w:right w:type="dxa" w:w="110"/>
            </w:tcMar>
          </w:tcPr>
          <w:p>
            <w:pPr>
              <w:spacing w:after="0"/>
              <w:jc w:val="left"/>
            </w:pPr>
            <w:r>
              <w:rPr>
                <w:b/>
                <w:bCs/>
                <w:sz w:val="18"/>
                <w:szCs w:val="18"/>
              </w:rPr>
              <w:t xml:space="preserve">Stärken</w:t>
            </w:r>
          </w:p>
        </w:tc>
        <w:tc>
          <w:tcPr>
            <w:tcW w:type="dxa" w:w="3100"/>
            <w:shd w:fill="E7E6E6" w:val="clear"/>
            <w:tcMar>
              <w:top w:type="dxa" w:w="60"/>
              <w:left w:type="dxa" w:w="110"/>
              <w:bottom w:type="dxa" w:w="60"/>
              <w:right w:type="dxa" w:w="110"/>
            </w:tcMar>
          </w:tcPr>
          <w:p>
            <w:pPr>
              <w:spacing w:after="0"/>
              <w:jc w:val="left"/>
            </w:pPr>
            <w:r>
              <w:rPr>
                <w:b/>
                <w:bCs/>
                <w:sz w:val="18"/>
                <w:szCs w:val="18"/>
              </w:rPr>
              <w:t xml:space="preserve">Schwächen</w:t>
            </w:r>
          </w:p>
        </w:tc>
      </w:tr>
      <w:tr>
        <w:trPr>
          <w:tblHeader w:val="false"/>
        </w:trPr>
        <w:tc>
          <w:tcPr>
            <w:tcW w:type="dxa" w:w="620"/>
            <w:tcMar>
              <w:top w:type="dxa" w:w="60"/>
              <w:left w:type="dxa" w:w="110"/>
              <w:bottom w:type="dxa" w:w="60"/>
              <w:right w:type="dxa" w:w="110"/>
            </w:tcMar>
          </w:tcPr>
          <w:p>
            <w:pPr>
              <w:spacing w:after="0"/>
              <w:jc w:val="left"/>
            </w:pPr>
            <w:r>
              <w:rPr>
                <w:b w:val="false"/>
                <w:bCs w:val="false"/>
                <w:sz w:val="18"/>
                <w:szCs w:val="18"/>
              </w:rPr>
              <w:t xml:space="preserve">Q1</w:t>
            </w:r>
          </w:p>
        </w:tc>
        <w:tc>
          <w:tcPr>
            <w:tcW w:type="dxa" w:w="2206"/>
            <w:tcMar>
              <w:top w:type="dxa" w:w="60"/>
              <w:left w:type="dxa" w:w="110"/>
              <w:bottom w:type="dxa" w:w="60"/>
              <w:right w:type="dxa" w:w="110"/>
            </w:tcMar>
          </w:tcPr>
          <w:p>
            <w:pPr>
              <w:spacing w:after="0"/>
              <w:jc w:val="left"/>
            </w:pPr>
            <w:r>
              <w:rPr>
                <w:b w:val="false"/>
                <w:bCs w:val="false"/>
                <w:sz w:val="18"/>
                <w:szCs w:val="18"/>
              </w:rPr>
              <w:t xml:space="preserve">ODS beibehalten, nur sauber parsen</w:t>
            </w:r>
          </w:p>
        </w:tc>
        <w:tc>
          <w:tcPr>
            <w:tcW w:type="dxa" w:w="3100"/>
            <w:tcMar>
              <w:top w:type="dxa" w:w="60"/>
              <w:left w:type="dxa" w:w="110"/>
              <w:bottom w:type="dxa" w:w="60"/>
              <w:right w:type="dxa" w:w="110"/>
            </w:tcMar>
          </w:tcPr>
          <w:p>
            <w:pPr>
              <w:spacing w:after="0"/>
              <w:jc w:val="left"/>
            </w:pPr>
            <w:r>
              <w:rPr>
                <w:b w:val="false"/>
                <w:bCs w:val="false"/>
                <w:sz w:val="18"/>
                <w:szCs w:val="18"/>
              </w:rPr>
              <w:t xml:space="preserve">Kleinster Schnitt; vertraute Bedienung bleibt erhalten</w:t>
            </w:r>
          </w:p>
        </w:tc>
        <w:tc>
          <w:tcPr>
            <w:tcW w:type="dxa" w:w="3100"/>
            <w:tcMar>
              <w:top w:type="dxa" w:w="60"/>
              <w:left w:type="dxa" w:w="110"/>
              <w:bottom w:type="dxa" w:w="60"/>
              <w:right w:type="dxa" w:w="110"/>
            </w:tcMar>
          </w:tcPr>
          <w:p>
            <w:pPr>
              <w:spacing w:after="0"/>
              <w:jc w:val="left"/>
            </w:pPr>
            <w:r>
              <w:rPr>
                <w:b w:val="false"/>
                <w:bCs w:val="false"/>
                <w:sz w:val="18"/>
                <w:szCs w:val="18"/>
              </w:rPr>
              <w:t xml:space="preserve">Löst weder Stammdatenpflege noch 28-MB-Datei; alle drei Fehlerklassen aus Kapitel 2 bleiben; setzt LibreOffice voraus</w:t>
            </w:r>
          </w:p>
        </w:tc>
      </w:tr>
      <w:tr>
        <w:trPr>
          <w:tblHeader w:val="false"/>
        </w:trPr>
        <w:tc>
          <w:tcPr>
            <w:tcW w:type="dxa" w:w="620"/>
            <w:tcMar>
              <w:top w:type="dxa" w:w="60"/>
              <w:left w:type="dxa" w:w="110"/>
              <w:bottom w:type="dxa" w:w="60"/>
              <w:right w:type="dxa" w:w="110"/>
            </w:tcMar>
          </w:tcPr>
          <w:p>
            <w:pPr>
              <w:spacing w:after="0"/>
              <w:jc w:val="left"/>
            </w:pPr>
            <w:r>
              <w:rPr>
                <w:b w:val="false"/>
                <w:bCs w:val="false"/>
                <w:sz w:val="18"/>
                <w:szCs w:val="18"/>
              </w:rPr>
              <w:t xml:space="preserve">Q2</w:t>
            </w:r>
          </w:p>
        </w:tc>
        <w:tc>
          <w:tcPr>
            <w:tcW w:type="dxa" w:w="2206"/>
            <w:tcMar>
              <w:top w:type="dxa" w:w="60"/>
              <w:left w:type="dxa" w:w="110"/>
              <w:bottom w:type="dxa" w:w="60"/>
              <w:right w:type="dxa" w:w="110"/>
            </w:tcMar>
          </w:tcPr>
          <w:p>
            <w:pPr>
              <w:spacing w:after="0"/>
              <w:jc w:val="left"/>
            </w:pPr>
            <w:r>
              <w:rPr>
                <w:b w:val="false"/>
                <w:bCs w:val="false"/>
                <w:sz w:val="18"/>
                <w:szCs w:val="18"/>
              </w:rPr>
              <w:t xml:space="preserve">Wechsel auf XLSX</w:t>
            </w:r>
          </w:p>
        </w:tc>
        <w:tc>
          <w:tcPr>
            <w:tcW w:type="dxa" w:w="3100"/>
            <w:tcMar>
              <w:top w:type="dxa" w:w="60"/>
              <w:left w:type="dxa" w:w="110"/>
              <w:bottom w:type="dxa" w:w="60"/>
              <w:right w:type="dxa" w:w="110"/>
            </w:tcMar>
          </w:tcPr>
          <w:p>
            <w:pPr>
              <w:spacing w:after="0"/>
              <w:jc w:val="left"/>
            </w:pPr>
            <w:r>
              <w:rPr>
                <w:b w:val="false"/>
                <w:bCs w:val="false"/>
                <w:sz w:val="18"/>
                <w:szCs w:val="18"/>
              </w:rPr>
              <w:t xml:space="preserve">Bessere Bibliothekslage; robusteres Einlesen</w:t>
            </w:r>
          </w:p>
        </w:tc>
        <w:tc>
          <w:tcPr>
            <w:tcW w:type="dxa" w:w="3100"/>
            <w:tcMar>
              <w:top w:type="dxa" w:w="60"/>
              <w:left w:type="dxa" w:w="110"/>
              <w:bottom w:type="dxa" w:w="60"/>
              <w:right w:type="dxa" w:w="110"/>
            </w:tcMar>
          </w:tcPr>
          <w:p>
            <w:pPr>
              <w:spacing w:after="0"/>
              <w:jc w:val="left"/>
            </w:pPr>
            <w:r>
              <w:rPr>
                <w:b w:val="false"/>
                <w:bCs w:val="false"/>
                <w:sz w:val="18"/>
                <w:szCs w:val="18"/>
              </w:rPr>
              <w:t xml:space="preserve">Inhaltlich identische Schwächen wie Q1; Migrationsaufwand ohne Qualitätsgewinn</w:t>
            </w:r>
          </w:p>
        </w:tc>
      </w:tr>
      <w:tr>
        <w:trPr>
          <w:tblHeader w:val="false"/>
        </w:trPr>
        <w:tc>
          <w:tcPr>
            <w:tcW w:type="dxa" w:w="620"/>
            <w:tcMar>
              <w:top w:type="dxa" w:w="60"/>
              <w:left w:type="dxa" w:w="110"/>
              <w:bottom w:type="dxa" w:w="60"/>
              <w:right w:type="dxa" w:w="110"/>
            </w:tcMar>
          </w:tcPr>
          <w:p>
            <w:pPr>
              <w:spacing w:after="0"/>
              <w:jc w:val="left"/>
            </w:pPr>
            <w:r>
              <w:rPr>
                <w:b w:val="false"/>
                <w:bCs w:val="false"/>
                <w:sz w:val="18"/>
                <w:szCs w:val="18"/>
              </w:rPr>
              <w:t xml:space="preserve">Q3</w:t>
            </w:r>
          </w:p>
        </w:tc>
        <w:tc>
          <w:tcPr>
            <w:tcW w:type="dxa" w:w="2206"/>
            <w:tcMar>
              <w:top w:type="dxa" w:w="60"/>
              <w:left w:type="dxa" w:w="110"/>
              <w:bottom w:type="dxa" w:w="60"/>
              <w:right w:type="dxa" w:w="110"/>
            </w:tcMar>
          </w:tcPr>
          <w:p>
            <w:pPr>
              <w:spacing w:after="0"/>
              <w:jc w:val="left"/>
            </w:pPr>
            <w:r>
              <w:rPr>
                <w:b w:val="false"/>
                <w:bCs w:val="false"/>
                <w:sz w:val="18"/>
                <w:szCs w:val="18"/>
              </w:rPr>
              <w:t xml:space="preserve">SQLite als führendes System</w:t>
            </w:r>
          </w:p>
        </w:tc>
        <w:tc>
          <w:tcPr>
            <w:tcW w:type="dxa" w:w="3100"/>
            <w:tcMar>
              <w:top w:type="dxa" w:w="60"/>
              <w:left w:type="dxa" w:w="110"/>
              <w:bottom w:type="dxa" w:w="60"/>
              <w:right w:type="dxa" w:w="110"/>
            </w:tcMar>
          </w:tcPr>
          <w:p>
            <w:pPr>
              <w:spacing w:after="0"/>
              <w:jc w:val="left"/>
            </w:pPr>
            <w:r>
              <w:rPr>
                <w:b w:val="false"/>
                <w:bCs w:val="false"/>
                <w:sz w:val="18"/>
                <w:szCs w:val="18"/>
              </w:rPr>
              <w:t xml:space="preserve">Typen, Fremdschlüssel und Pflichtfelder erzwingbar; kompakt</w:t>
            </w:r>
          </w:p>
        </w:tc>
        <w:tc>
          <w:tcPr>
            <w:tcW w:type="dxa" w:w="3100"/>
            <w:tcMar>
              <w:top w:type="dxa" w:w="60"/>
              <w:left w:type="dxa" w:w="110"/>
              <w:bottom w:type="dxa" w:w="60"/>
              <w:right w:type="dxa" w:w="110"/>
            </w:tcMar>
          </w:tcPr>
          <w:p>
            <w:pPr>
              <w:spacing w:after="0"/>
              <w:jc w:val="left"/>
            </w:pPr>
            <w:r>
              <w:rPr>
                <w:b w:val="false"/>
                <w:bCs w:val="false"/>
                <w:sz w:val="18"/>
                <w:szCs w:val="18"/>
              </w:rPr>
              <w:t xml:space="preserve">Binärformat: in Git nicht zeilenweise vergleichbar; Zugriff nur über Treiber oder Zusatzwerkzeug; im Browser nur über eine WebAssembly-Bibliothek</w:t>
            </w:r>
          </w:p>
        </w:tc>
      </w:tr>
      <w:tr>
        <w:trPr>
          <w:tblHeader w:val="false"/>
        </w:trPr>
        <w:tc>
          <w:tcPr>
            <w:tcW w:type="dxa" w:w="620"/>
            <w:tcMar>
              <w:top w:type="dxa" w:w="60"/>
              <w:left w:type="dxa" w:w="110"/>
              <w:bottom w:type="dxa" w:w="60"/>
              <w:right w:type="dxa" w:w="110"/>
            </w:tcMar>
          </w:tcPr>
          <w:p>
            <w:pPr>
              <w:spacing w:after="0"/>
              <w:jc w:val="left"/>
            </w:pPr>
            <w:r>
              <w:rPr>
                <w:b w:val="false"/>
                <w:bCs w:val="false"/>
                <w:sz w:val="18"/>
                <w:szCs w:val="18"/>
              </w:rPr>
              <w:t xml:space="preserve">Q4</w:t>
            </w:r>
          </w:p>
        </w:tc>
        <w:tc>
          <w:tcPr>
            <w:tcW w:type="dxa" w:w="2206"/>
            <w:tcMar>
              <w:top w:type="dxa" w:w="60"/>
              <w:left w:type="dxa" w:w="110"/>
              <w:bottom w:type="dxa" w:w="60"/>
              <w:right w:type="dxa" w:w="110"/>
            </w:tcMar>
          </w:tcPr>
          <w:p>
            <w:pPr>
              <w:spacing w:after="0"/>
              <w:jc w:val="left"/>
            </w:pPr>
            <w:r>
              <w:rPr>
                <w:b w:val="false"/>
                <w:bCs w:val="false"/>
                <w:sz w:val="18"/>
                <w:szCs w:val="18"/>
              </w:rPr>
              <w:t xml:space="preserve">Textdateien (CSV) im Repository</w:t>
            </w:r>
          </w:p>
        </w:tc>
        <w:tc>
          <w:tcPr>
            <w:tcW w:type="dxa" w:w="3100"/>
            <w:tcMar>
              <w:top w:type="dxa" w:w="60"/>
              <w:left w:type="dxa" w:w="110"/>
              <w:bottom w:type="dxa" w:w="60"/>
              <w:right w:type="dxa" w:w="110"/>
            </w:tcMar>
          </w:tcPr>
          <w:p>
            <w:pPr>
              <w:spacing w:after="0"/>
              <w:jc w:val="left"/>
            </w:pPr>
            <w:r>
              <w:rPr>
                <w:b w:val="false"/>
                <w:bCs w:val="false"/>
                <w:sz w:val="18"/>
                <w:szCs w:val="18"/>
              </w:rPr>
              <w:t xml:space="preserve">Ohne jedes Werkzeug lesbar; in Tabellenkalkulation und Editor bearbeitbar; jede Änderung in Git zeilenweise nachvollziehbar; Backup durch Auschecken</w:t>
            </w:r>
          </w:p>
        </w:tc>
        <w:tc>
          <w:tcPr>
            <w:tcW w:type="dxa" w:w="3100"/>
            <w:tcMar>
              <w:top w:type="dxa" w:w="60"/>
              <w:left w:type="dxa" w:w="110"/>
              <w:bottom w:type="dxa" w:w="60"/>
              <w:right w:type="dxa" w:w="110"/>
            </w:tcMar>
          </w:tcPr>
          <w:p>
            <w:pPr>
              <w:spacing w:after="0"/>
              <w:jc w:val="left"/>
            </w:pPr>
            <w:r>
              <w:rPr>
                <w:b w:val="false"/>
                <w:bCs w:val="false"/>
                <w:sz w:val="18"/>
                <w:szCs w:val="18"/>
              </w:rPr>
              <w:t xml:space="preserve">Integrität muss von der Anwendung geprüft werden statt vom Format erzwungen</w:t>
            </w:r>
          </w:p>
        </w:tc>
      </w:tr>
    </w:tbl>
    <w:p>
      <w:pPr>
        <w:pStyle w:val="Heading2"/>
        <w:spacing w:after="120" w:before="240"/>
      </w:pPr>
      <w:r>
        <w:t xml:space="preserve">3.2 Entscheidung</w:t>
      </w:r>
    </w:p>
    <w:p>
      <w:pPr>
        <w:spacing w:after="140"/>
      </w:pPr>
      <w:r>
        <w:t xml:space="preserve">Empfohlen wird Option Q4: der Bestand als CSV-Datei im Repository. Diese Entscheidung ist eine andere als sie ohne die Zugänglichkeitsanforderung ausgefallen wäre — dort hätte SQLite (Q3) gewonnen, weil es Integrität erzwingt. Unter der Vorgabe „auschecken und anwenden“ kehrt sich die Abwägung um: Eine SQLite-Datei ist ein Binärformat, das in Git nicht zeilenweise vergleichbar ist und ohne zusätzliches Werkzeug nicht geöffnet werden kann. Eine CSV-Datei ist beides.</w:t>
      </w:r>
    </w:p>
    <w:p>
      <w:pPr>
        <w:spacing w:after="140"/>
      </w:pPr>
      <w:r>
        <w:t xml:space="preserve">Der frühere Einwand gegen Q4 — bei rund 6.900 Zeilen sei Textbearbeitung unbequem — entfällt, weil die Anwendung nun ohne Installation jederzeit verfügbar ist. Sie ist der bequeme Weg, die Datei bleibt der offene. Beides gleichzeitig zu haben, ist genau der Hybrid-Anspruch aus der Aufgabenstellung.</w:t>
      </w:r>
    </w:p>
    <w:p>
      <w:pPr>
        <w:spacing w:after="140"/>
      </w:pPr>
      <w:r>
        <w:t xml:space="preserve">Entscheidend bleibt die Trennung von Stammdaten und Bestand. Kartenstammdaten kommen aus dem offenen Datensatz (Kapitel 4) und werden nicht mehr getippt. Was übrig bleibt, ist der tatsächlich nutzereigene Teil — Bestandsmengen je Druck, Playset-Ziel, Notizen. Die sechs Formelspalten entfallen ersatzlos, weil die Anwendung sie berechnet. Die Integrität, die ein Datenbankschema erzwungen hätte, wird stattdessen beim Laden geprüft und im Protokoll gemeldet (Kapitel 7).</w:t>
      </w:r>
    </w:p>
    <w:p>
      <w:pPr>
        <w:pStyle w:val="Heading1"/>
        <w:spacing w:after="160" w:before="320"/>
      </w:pPr>
      <w:r>
        <w:t xml:space="preserve">4. Stammdaten und Zielformat-Referenzen</w:t>
      </w:r>
    </w:p>
    <w:p>
      <w:pPr>
        <w:spacing w:after="140"/>
      </w:pPr>
      <w:r>
        <w:t xml:space="preserve">Zwei Datenquellen entscheiden über die Exportqualität, und beide sind bereits verfügbar: ein offener Kartendatensatz für die allgemeinen Kartenstammdaten, und die Export-Datei des Zielsystems selbst als verbindliche Formatvorgabe. Zusammen ersetzen sie praktisch die gesamte heutige Handpflege.</w:t>
      </w:r>
    </w:p>
    <w:p>
      <w:pPr>
        <w:pStyle w:val="Heading2"/>
        <w:spacing w:after="120" w:before="240"/>
      </w:pPr>
      <w:r>
        <w:t xml:space="preserve">4.1 Kartenstammdaten: der offene Datensatz</w:t>
      </w:r>
    </w:p>
    <w:p>
      <w:pPr>
        <w:spacing w:after="140"/>
      </w:pPr>
      <w:r>
        <w:t xml:space="preserve">Der Datensatz </w:t>
      </w:r>
      <w:hyperlink w:history="1" r:id="rIdnxx6q1nf6diddspyf8z8z">
        <w:r>
          <w:rPr>
            <w:rStyle w:val="Hyperlink"/>
          </w:rPr>
          <w:t xml:space="preserve">the-fab-cube/flesh-and-blood-cards</w:t>
        </w:r>
      </w:hyperlink>
      <w:r>
        <w:t xml:space="preserve"> stellt alle Karten des Spiels als JSON und CSV offen bereit und wird aktiv gepflegt. Entscheidend ist, dass er Daten auf Druck-Ebene enthält, nicht nur auf Kartenebene. Das printings-Array führt je Druck unter anderem folgende Felder:</w:t>
      </w:r>
    </w:p>
    <w:p>
      <w:pPr>
        <w:pStyle w:val="ListParagraph"/>
        <w:numPr>
          <w:ilvl w:val="0"/>
          <w:numId w:val="2"/>
        </w:numPr>
        <w:spacing w:after="80"/>
      </w:pPr>
      <w:r>
        <w:t xml:space="preserve">id — die Kartennummer, z. B. WTR001; dazu set_id und edition</w:t>
      </w:r>
    </w:p>
    <w:p>
      <w:pPr>
        <w:pStyle w:val="ListParagraph"/>
        <w:numPr>
          <w:ilvl w:val="0"/>
          <w:numId w:val="2"/>
        </w:numPr>
        <w:spacing w:after="80"/>
      </w:pPr>
      <w:r>
        <w:t xml:space="preserve">foiling — Standard, Rainbow, Cold, Gold</w:t>
      </w:r>
    </w:p>
    <w:p>
      <w:pPr>
        <w:pStyle w:val="ListParagraph"/>
        <w:numPr>
          <w:ilvl w:val="0"/>
          <w:numId w:val="2"/>
        </w:numPr>
        <w:spacing w:after="80"/>
      </w:pPr>
      <w:r>
        <w:t xml:space="preserve">rarity und art_variations — Rarity und Sonderausstattung als Codes</w:t>
      </w:r>
    </w:p>
    <w:p>
      <w:pPr>
        <w:pStyle w:val="ListParagraph"/>
        <w:numPr>
          <w:ilvl w:val="0"/>
          <w:numId w:val="2"/>
        </w:numPr>
        <w:spacing w:after="80"/>
      </w:pPr>
      <w:r>
        <w:t xml:space="preserve">unique_id und set_printing_unique_id — stabile Schlüssel über Datensatz-Versionen hinweg</w:t>
      </w:r>
    </w:p>
    <w:p>
      <w:pPr>
        <w:pStyle w:val="ListParagraph"/>
        <w:numPr>
          <w:ilvl w:val="0"/>
          <w:numId w:val="2"/>
        </w:numPr>
        <w:spacing w:after="80"/>
      </w:pPr>
      <w:r>
        <w:t xml:space="preserve">tcgplayer_product_id und tcgplayer_url sowie image_url und artists</w:t>
      </w:r>
    </w:p>
    <w:p>
      <w:pPr>
        <w:spacing w:after="140"/>
      </w:pPr>
      <w:r>
        <w:t xml:space="preserve">Das sind exakt die Achsen, die das heutige Tool mühsam aus getippten Tabellenspalten rekonstruiert. Werden sie übernommen, verschwinden die Audit-Befunde C2, C5 und C14 nicht als Bugfix, sondern als Kategorie: Ein Kartenname kann nicht mehr falsch geschrieben werden, weil er nicht mehr eingegeben wird.</w:t>
      </w:r>
    </w:p>
    <w:p>
      <w:pPr>
        <w:spacing w:after="140"/>
      </w:pPr>
      <w:r>
        <w:t xml:space="preserve">Für den hier gewählten dateibasierten Ansatz ist eine Eigenschaft des Datensatzes besonders günstig: Er wird nicht nur als JSON, sondern auch als normalisierte CSV-Dateien veröffentlicht, die klein genug sind, um mitversioniert zu werden.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1600"/>
        <w:gridCol w:w="4226"/>
      </w:tblGrid>
      <w:tr>
        <w:trPr>
          <w:tblHeader/>
        </w:trPr>
        <w:tc>
          <w:tcPr>
            <w:tcW w:type="dxa" w:w="3200"/>
            <w:shd w:fill="E7E6E6" w:val="clear"/>
            <w:tcMar>
              <w:top w:type="dxa" w:w="60"/>
              <w:left w:type="dxa" w:w="110"/>
              <w:bottom w:type="dxa" w:w="60"/>
              <w:right w:type="dxa" w:w="110"/>
            </w:tcMar>
          </w:tcPr>
          <w:p>
            <w:pPr>
              <w:spacing w:after="0"/>
              <w:jc w:val="left"/>
            </w:pPr>
            <w:r>
              <w:rPr>
                <w:b/>
                <w:bCs/>
                <w:sz w:val="18"/>
                <w:szCs w:val="18"/>
              </w:rPr>
              <w:t xml:space="preserve">Datei</w:t>
            </w:r>
          </w:p>
        </w:tc>
        <w:tc>
          <w:tcPr>
            <w:tcW w:type="dxa" w:w="1600"/>
            <w:shd w:fill="E7E6E6" w:val="clear"/>
            <w:tcMar>
              <w:top w:type="dxa" w:w="60"/>
              <w:left w:type="dxa" w:w="110"/>
              <w:bottom w:type="dxa" w:w="60"/>
              <w:right w:type="dxa" w:w="110"/>
            </w:tcMar>
          </w:tcPr>
          <w:p>
            <w:pPr>
              <w:spacing w:after="0"/>
              <w:jc w:val="left"/>
            </w:pPr>
            <w:r>
              <w:rPr>
                <w:b/>
                <w:bCs/>
                <w:sz w:val="18"/>
                <w:szCs w:val="18"/>
              </w:rPr>
              <w:t xml:space="preserve">Größe</w:t>
            </w:r>
          </w:p>
        </w:tc>
        <w:tc>
          <w:tcPr>
            <w:tcW w:type="dxa" w:w="4226"/>
            <w:shd w:fill="E7E6E6" w:val="clear"/>
            <w:tcMar>
              <w:top w:type="dxa" w:w="60"/>
              <w:left w:type="dxa" w:w="110"/>
              <w:bottom w:type="dxa" w:w="60"/>
              <w:right w:type="dxa" w:w="110"/>
            </w:tcMar>
          </w:tcPr>
          <w:p>
            <w:pPr>
              <w:spacing w:after="0"/>
              <w:jc w:val="left"/>
            </w:pPr>
            <w:r>
              <w:rPr>
                <w:b/>
                <w:bCs/>
                <w:sz w:val="18"/>
                <w:szCs w:val="18"/>
              </w:rPr>
              <w:t xml:space="preserve">Verwendung</w:t>
            </w:r>
          </w:p>
        </w:tc>
      </w:tr>
      <w:tr>
        <w:trPr>
          <w:tblHeader w:val="false"/>
        </w:trPr>
        <w:tc>
          <w:tcPr>
            <w:tcW w:type="dxa" w:w="3200"/>
            <w:tcMar>
              <w:top w:type="dxa" w:w="60"/>
              <w:left w:type="dxa" w:w="110"/>
              <w:bottom w:type="dxa" w:w="60"/>
              <w:right w:type="dxa" w:w="110"/>
            </w:tcMar>
          </w:tcPr>
          <w:p>
            <w:pPr>
              <w:spacing w:after="0"/>
              <w:jc w:val="left"/>
            </w:pPr>
            <w:r>
              <w:rPr>
                <w:b w:val="false"/>
                <w:bCs w:val="false"/>
                <w:sz w:val="18"/>
                <w:szCs w:val="18"/>
              </w:rPr>
              <w:t xml:space="preserve">card-printing.csv</w:t>
            </w:r>
          </w:p>
        </w:tc>
        <w:tc>
          <w:tcPr>
            <w:tcW w:type="dxa" w:w="1600"/>
            <w:tcMar>
              <w:top w:type="dxa" w:w="60"/>
              <w:left w:type="dxa" w:w="110"/>
              <w:bottom w:type="dxa" w:w="60"/>
              <w:right w:type="dxa" w:w="110"/>
            </w:tcMar>
          </w:tcPr>
          <w:p>
            <w:pPr>
              <w:spacing w:after="0"/>
              <w:jc w:val="left"/>
            </w:pPr>
            <w:r>
              <w:rPr>
                <w:b w:val="false"/>
                <w:bCs w:val="false"/>
                <w:sz w:val="18"/>
                <w:szCs w:val="18"/>
              </w:rPr>
              <w:t xml:space="preserve">4,45 MB</w:t>
            </w:r>
          </w:p>
        </w:tc>
        <w:tc>
          <w:tcPr>
            <w:tcW w:type="dxa" w:w="4226"/>
            <w:tcMar>
              <w:top w:type="dxa" w:w="60"/>
              <w:left w:type="dxa" w:w="110"/>
              <w:bottom w:type="dxa" w:w="60"/>
              <w:right w:type="dxa" w:w="110"/>
            </w:tcMar>
          </w:tcPr>
          <w:p>
            <w:pPr>
              <w:spacing w:after="0"/>
              <w:jc w:val="left"/>
            </w:pPr>
            <w:r>
              <w:rPr>
                <w:b w:val="false"/>
                <w:bCs w:val="false"/>
                <w:sz w:val="18"/>
                <w:szCs w:val="18"/>
              </w:rPr>
              <w:t xml:space="preserve">Das Druck-Universum — Kern der Stammdaten</w:t>
            </w:r>
          </w:p>
        </w:tc>
      </w:tr>
      <w:tr>
        <w:trPr>
          <w:tblHeader w:val="false"/>
        </w:trPr>
        <w:tc>
          <w:tcPr>
            <w:tcW w:type="dxa" w:w="3200"/>
            <w:tcMar>
              <w:top w:type="dxa" w:w="60"/>
              <w:left w:type="dxa" w:w="110"/>
              <w:bottom w:type="dxa" w:w="60"/>
              <w:right w:type="dxa" w:w="110"/>
            </w:tcMar>
          </w:tcPr>
          <w:p>
            <w:pPr>
              <w:spacing w:after="0"/>
              <w:jc w:val="left"/>
            </w:pPr>
            <w:r>
              <w:rPr>
                <w:b w:val="false"/>
                <w:bCs w:val="false"/>
                <w:sz w:val="18"/>
                <w:szCs w:val="18"/>
              </w:rPr>
              <w:t xml:space="preserve">card.csv</w:t>
            </w:r>
          </w:p>
        </w:tc>
        <w:tc>
          <w:tcPr>
            <w:tcW w:type="dxa" w:w="1600"/>
            <w:tcMar>
              <w:top w:type="dxa" w:w="60"/>
              <w:left w:type="dxa" w:w="110"/>
              <w:bottom w:type="dxa" w:w="60"/>
              <w:right w:type="dxa" w:w="110"/>
            </w:tcMar>
          </w:tcPr>
          <w:p>
            <w:pPr>
              <w:spacing w:after="0"/>
              <w:jc w:val="left"/>
            </w:pPr>
            <w:r>
              <w:rPr>
                <w:b w:val="false"/>
                <w:bCs w:val="false"/>
                <w:sz w:val="18"/>
                <w:szCs w:val="18"/>
              </w:rPr>
              <w:t xml:space="preserve">1,24 MB</w:t>
            </w:r>
          </w:p>
        </w:tc>
        <w:tc>
          <w:tcPr>
            <w:tcW w:type="dxa" w:w="4226"/>
            <w:tcMar>
              <w:top w:type="dxa" w:w="60"/>
              <w:left w:type="dxa" w:w="110"/>
              <w:bottom w:type="dxa" w:w="60"/>
              <w:right w:type="dxa" w:w="110"/>
            </w:tcMar>
          </w:tcPr>
          <w:p>
            <w:pPr>
              <w:spacing w:after="0"/>
              <w:jc w:val="left"/>
            </w:pPr>
            <w:r>
              <w:rPr>
                <w:b w:val="false"/>
                <w:bCs w:val="false"/>
                <w:sz w:val="18"/>
                <w:szCs w:val="18"/>
              </w:rPr>
              <w:t xml:space="preserve">Kartenebene: Name, Pitch, Typen</w:t>
            </w:r>
          </w:p>
        </w:tc>
      </w:tr>
      <w:tr>
        <w:trPr>
          <w:tblHeader w:val="false"/>
        </w:trPr>
        <w:tc>
          <w:tcPr>
            <w:tcW w:type="dxa" w:w="3200"/>
            <w:tcMar>
              <w:top w:type="dxa" w:w="60"/>
              <w:left w:type="dxa" w:w="110"/>
              <w:bottom w:type="dxa" w:w="60"/>
              <w:right w:type="dxa" w:w="110"/>
            </w:tcMar>
          </w:tcPr>
          <w:p>
            <w:pPr>
              <w:spacing w:after="0"/>
              <w:jc w:val="left"/>
            </w:pPr>
            <w:r>
              <w:rPr>
                <w:b w:val="false"/>
                <w:bCs w:val="false"/>
                <w:sz w:val="18"/>
                <w:szCs w:val="18"/>
              </w:rPr>
              <w:t xml:space="preserve">set.csv</w:t>
            </w:r>
          </w:p>
        </w:tc>
        <w:tc>
          <w:tcPr>
            <w:tcW w:type="dxa" w:w="1600"/>
            <w:tcMar>
              <w:top w:type="dxa" w:w="60"/>
              <w:left w:type="dxa" w:w="110"/>
              <w:bottom w:type="dxa" w:w="60"/>
              <w:right w:type="dxa" w:w="110"/>
            </w:tcMar>
          </w:tcPr>
          <w:p>
            <w:pPr>
              <w:spacing w:after="0"/>
              <w:jc w:val="left"/>
            </w:pPr>
            <w:r>
              <w:rPr>
                <w:b w:val="false"/>
                <w:bCs w:val="false"/>
                <w:sz w:val="18"/>
                <w:szCs w:val="18"/>
              </w:rPr>
              <w:t xml:space="preserve">6 KB</w:t>
            </w:r>
          </w:p>
        </w:tc>
        <w:tc>
          <w:tcPr>
            <w:tcW w:type="dxa" w:w="4226"/>
            <w:tcMar>
              <w:top w:type="dxa" w:w="60"/>
              <w:left w:type="dxa" w:w="110"/>
              <w:bottom w:type="dxa" w:w="60"/>
              <w:right w:type="dxa" w:w="110"/>
            </w:tcMar>
          </w:tcPr>
          <w:p>
            <w:pPr>
              <w:spacing w:after="0"/>
              <w:jc w:val="left"/>
            </w:pPr>
            <w:r>
              <w:rPr>
                <w:b w:val="false"/>
                <w:bCs w:val="false"/>
                <w:sz w:val="18"/>
                <w:szCs w:val="18"/>
              </w:rPr>
              <w:t xml:space="preserve">Set-Codes und Set-Namen — ersetzt die 15-Einträge-Tabelle im Code</w:t>
            </w:r>
          </w:p>
        </w:tc>
      </w:tr>
      <w:tr>
        <w:trPr>
          <w:tblHeader w:val="false"/>
        </w:trPr>
        <w:tc>
          <w:tcPr>
            <w:tcW w:type="dxa" w:w="3200"/>
            <w:tcMar>
              <w:top w:type="dxa" w:w="60"/>
              <w:left w:type="dxa" w:w="110"/>
              <w:bottom w:type="dxa" w:w="60"/>
              <w:right w:type="dxa" w:w="110"/>
            </w:tcMar>
          </w:tcPr>
          <w:p>
            <w:pPr>
              <w:spacing w:after="0"/>
              <w:jc w:val="left"/>
            </w:pPr>
            <w:r>
              <w:rPr>
                <w:b w:val="false"/>
                <w:bCs w:val="false"/>
                <w:sz w:val="18"/>
                <w:szCs w:val="18"/>
              </w:rPr>
              <w:t xml:space="preserve">foiling.csv, rarity.csv, edition.csv, art-variation.csv</w:t>
            </w:r>
          </w:p>
        </w:tc>
        <w:tc>
          <w:tcPr>
            <w:tcW w:type="dxa" w:w="1600"/>
            <w:tcMar>
              <w:top w:type="dxa" w:w="60"/>
              <w:left w:type="dxa" w:w="110"/>
              <w:bottom w:type="dxa" w:w="60"/>
              <w:right w:type="dxa" w:w="110"/>
            </w:tcMar>
          </w:tcPr>
          <w:p>
            <w:pPr>
              <w:spacing w:after="0"/>
              <w:jc w:val="left"/>
            </w:pPr>
            <w:r>
              <w:rPr>
                <w:b w:val="false"/>
                <w:bCs w:val="false"/>
                <w:sz w:val="18"/>
                <w:szCs w:val="18"/>
              </w:rPr>
              <w:t xml:space="preserve">je 70–111 Bytes</w:t>
            </w:r>
          </w:p>
        </w:tc>
        <w:tc>
          <w:tcPr>
            <w:tcW w:type="dxa" w:w="4226"/>
            <w:tcMar>
              <w:top w:type="dxa" w:w="60"/>
              <w:left w:type="dxa" w:w="110"/>
              <w:bottom w:type="dxa" w:w="60"/>
              <w:right w:type="dxa" w:w="110"/>
            </w:tcMar>
          </w:tcPr>
          <w:p>
            <w:pPr>
              <w:spacing w:after="0"/>
              <w:jc w:val="left"/>
            </w:pPr>
            <w:r>
              <w:rPr>
                <w:b w:val="false"/>
                <w:bCs w:val="false"/>
                <w:sz w:val="18"/>
                <w:szCs w:val="18"/>
              </w:rPr>
              <w:t xml:space="preserve">Die zulässigen Wertelisten — direkt als Validierungsvokabular nutzbar</w:t>
            </w:r>
          </w:p>
        </w:tc>
      </w:tr>
    </w:tbl>
    <w:p>
      <w:pPr>
        <w:spacing w:after="200" w:before="60"/>
      </w:pPr>
      <w:r>
        <w:rPr>
          <w:i/>
          <w:iCs/>
          <w:color w:val="595959"/>
          <w:sz w:val="18"/>
          <w:szCs w:val="18"/>
        </w:rPr>
        <w:t xml:space="preserve">Zum Vergleich: die JSON-Varianten desselben Datensatzes umfassen 23,6 MB (card.json) bzw. 40,3 MB (card-flattened.json). Die CSV-Verteilung ist für diesen Zweck die deutlich praktischere.</w:t>
      </w:r>
    </w:p>
    <w:p>
      <w:pPr>
        <w:spacing w:after="140"/>
      </w:pPr>
      <w:r>
        <w:t xml:space="preserve">Damit liegt das gesamte benötigte Stammdatenpaket bei rund 6 MB in einem Format, das ohne Werkzeug lesbar ist. Die vier winzigen Vokabulardateien sind dabei besonders wertvoll: Sie liefern genau die Wertelisten, die heute als 13 Dropdowns in der Tabelle gepflegt werden.</w:t>
      </w:r>
    </w:p>
    <w:p>
      <w:pPr>
        <w:spacing w:after="140"/>
      </w:pPr>
      <w:r>
        <w:rPr>
          <w:b/>
          <w:bCs/>
        </w:rPr>
        <w:t xml:space="preserve">Eine Lücke muss offen benannt werden: </w:t>
      </w:r>
      <w:r>
        <w:t xml:space="preserve">Der Datensatz enthält eine TCGplayer-Produkt-ID, aber keine Cardmarket-Produkt-ID. Für TCG Powertools ist jedoch genau diese der relevante Schlüssel; das Feld CardmarketId in TcgDto.cs bleibt heute leer (Audit C15). Drei Wege stehen offen: eine eigene, klein gehaltene Zuordnungstabelle pflegen; die Cardmarket-API anbinden (setzt Konto und App-Token voraus); oder weiterhin über Name, Set und Nummer zuordnen und die Namensabweichungen über eine Korrekturliste auffangen, wie es CardmarketHelper.cs heute tut. Empfohlen wird der dritte Weg für die erste Ausbaustufe, mit der Zuordnungstabelle als geplanter Ausbau.</w:t>
      </w:r>
    </w:p>
    <w:p>
      <w:pPr>
        <w:pStyle w:val="Heading2"/>
        <w:spacing w:after="120" w:before="240"/>
      </w:pPr>
      <w:r>
        <w:t xml:space="preserve">4.2 Die Fabrary-Referenzdatei als Formatvorgabe</w:t>
      </w:r>
    </w:p>
    <w:p>
      <w:pPr>
        <w:spacing w:after="140"/>
      </w:pPr>
      <w:r>
        <w:t xml:space="preserve">Für Fabrary existiert eine Spezifikation zwar nicht als Dokument, wohl aber als Datei: Der Export der eigenen Sammlung aus Fabrary ist zugleich die gültige Vorlage für den Import. Genau so wird heute bereits gearbeitet. Die vorliegende Referenz docs/Fabrary Export Beispiel.csv umfasst 16.659 Datenzeilen und wurde für dieses Konzept ausgewertet. Das Ergebnis verschiebt den Schwerpunkt der Exportqualität deutlich.</w:t>
      </w:r>
    </w:p>
    <w:p>
      <w:pPr>
        <w:spacing w:after="140"/>
      </w:pPr>
      <w:r>
        <w:t xml:space="preserve">Die Kopfzeile des heutigen Tool-Exports stimmt mit der Referenz exakt überein. Das Problem liegt also nicht bei den Spalten, sondern bei den Werten und beim Zeilenumfang:</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300"/>
        <w:gridCol w:w="3363"/>
        <w:gridCol w:w="3363"/>
      </w:tblGrid>
      <w:tr>
        <w:trPr>
          <w:tblHeader/>
        </w:trPr>
        <w:tc>
          <w:tcPr>
            <w:tcW w:type="dxa" w:w="2300"/>
            <w:shd w:fill="E7E6E6" w:val="clear"/>
            <w:tcMar>
              <w:top w:type="dxa" w:w="60"/>
              <w:left w:type="dxa" w:w="110"/>
              <w:bottom w:type="dxa" w:w="60"/>
              <w:right w:type="dxa" w:w="110"/>
            </w:tcMar>
          </w:tcPr>
          <w:p>
            <w:pPr>
              <w:spacing w:after="0"/>
              <w:jc w:val="left"/>
            </w:pPr>
            <w:r>
              <w:rPr>
                <w:b/>
                <w:bCs/>
                <w:sz w:val="18"/>
                <w:szCs w:val="18"/>
              </w:rPr>
              <w:t xml:space="preserve">Merkmal</w:t>
            </w:r>
          </w:p>
        </w:tc>
        <w:tc>
          <w:tcPr>
            <w:tcW w:type="dxa" w:w="3363"/>
            <w:shd w:fill="E7E6E6" w:val="clear"/>
            <w:tcMar>
              <w:top w:type="dxa" w:w="60"/>
              <w:left w:type="dxa" w:w="110"/>
              <w:bottom w:type="dxa" w:w="60"/>
              <w:right w:type="dxa" w:w="110"/>
            </w:tcMar>
          </w:tcPr>
          <w:p>
            <w:pPr>
              <w:spacing w:after="0"/>
              <w:jc w:val="left"/>
            </w:pPr>
            <w:r>
              <w:rPr>
                <w:b/>
                <w:bCs/>
                <w:sz w:val="18"/>
                <w:szCs w:val="18"/>
              </w:rPr>
              <w:t xml:space="preserve">Fabrary-Referenz</w:t>
            </w:r>
          </w:p>
        </w:tc>
        <w:tc>
          <w:tcPr>
            <w:tcW w:type="dxa" w:w="3363"/>
            <w:shd w:fill="E7E6E6" w:val="clear"/>
            <w:tcMar>
              <w:top w:type="dxa" w:w="60"/>
              <w:left w:type="dxa" w:w="110"/>
              <w:bottom w:type="dxa" w:w="60"/>
              <w:right w:type="dxa" w:w="110"/>
            </w:tcMar>
          </w:tcPr>
          <w:p>
            <w:pPr>
              <w:spacing w:after="0"/>
              <w:jc w:val="left"/>
            </w:pPr>
            <w:r>
              <w:rPr>
                <w:b/>
                <w:bCs/>
                <w:sz w:val="18"/>
                <w:szCs w:val="18"/>
              </w:rPr>
              <w:t xml:space="preserve">Heutiger Tool-Export</w:t>
            </w:r>
          </w:p>
        </w:tc>
      </w:tr>
      <w:tr>
        <w:trPr>
          <w:tblHeader w:val="false"/>
        </w:trPr>
        <w:tc>
          <w:tcPr>
            <w:tcW w:type="dxa" w:w="2300"/>
            <w:tcMar>
              <w:top w:type="dxa" w:w="60"/>
              <w:left w:type="dxa" w:w="110"/>
              <w:bottom w:type="dxa" w:w="60"/>
              <w:right w:type="dxa" w:w="110"/>
            </w:tcMar>
          </w:tcPr>
          <w:p>
            <w:pPr>
              <w:spacing w:after="0"/>
              <w:jc w:val="left"/>
            </w:pPr>
            <w:r>
              <w:rPr>
                <w:b w:val="false"/>
                <w:bCs w:val="false"/>
                <w:sz w:val="18"/>
                <w:szCs w:val="18"/>
              </w:rPr>
              <w:t xml:space="preserve">Datenzeilen</w:t>
            </w:r>
          </w:p>
        </w:tc>
        <w:tc>
          <w:tcPr>
            <w:tcW w:type="dxa" w:w="3363"/>
            <w:tcMar>
              <w:top w:type="dxa" w:w="60"/>
              <w:left w:type="dxa" w:w="110"/>
              <w:bottom w:type="dxa" w:w="60"/>
              <w:right w:type="dxa" w:w="110"/>
            </w:tcMar>
          </w:tcPr>
          <w:p>
            <w:pPr>
              <w:spacing w:after="0"/>
              <w:jc w:val="left"/>
            </w:pPr>
            <w:r>
              <w:rPr>
                <w:b w:val="false"/>
                <w:bCs w:val="false"/>
                <w:sz w:val="18"/>
                <w:szCs w:val="18"/>
              </w:rPr>
              <w:t xml:space="preserve">16.659</w:t>
            </w:r>
          </w:p>
        </w:tc>
        <w:tc>
          <w:tcPr>
            <w:tcW w:type="dxa" w:w="3363"/>
            <w:tcMar>
              <w:top w:type="dxa" w:w="60"/>
              <w:left w:type="dxa" w:w="110"/>
              <w:bottom w:type="dxa" w:w="60"/>
              <w:right w:type="dxa" w:w="110"/>
            </w:tcMar>
          </w:tcPr>
          <w:p>
            <w:pPr>
              <w:spacing w:after="0"/>
              <w:jc w:val="left"/>
            </w:pPr>
            <w:r>
              <w:rPr>
                <w:b w:val="false"/>
                <w:bCs w:val="false"/>
                <w:sz w:val="18"/>
                <w:szCs w:val="18"/>
              </w:rPr>
              <w:t xml:space="preserve">1.390</w:t>
            </w:r>
          </w:p>
        </w:tc>
      </w:tr>
      <w:tr>
        <w:trPr>
          <w:tblHeader w:val="false"/>
        </w:trPr>
        <w:tc>
          <w:tcPr>
            <w:tcW w:type="dxa" w:w="2300"/>
            <w:tcMar>
              <w:top w:type="dxa" w:w="60"/>
              <w:left w:type="dxa" w:w="110"/>
              <w:bottom w:type="dxa" w:w="60"/>
              <w:right w:type="dxa" w:w="110"/>
            </w:tcMar>
          </w:tcPr>
          <w:p>
            <w:pPr>
              <w:spacing w:after="0"/>
              <w:jc w:val="left"/>
            </w:pPr>
            <w:r>
              <w:rPr>
                <w:b w:val="false"/>
                <w:bCs w:val="false"/>
                <w:sz w:val="18"/>
                <w:szCs w:val="18"/>
              </w:rPr>
              <w:t xml:space="preserve">Zeilenumfang</w:t>
            </w:r>
          </w:p>
        </w:tc>
        <w:tc>
          <w:tcPr>
            <w:tcW w:type="dxa" w:w="3363"/>
            <w:tcMar>
              <w:top w:type="dxa" w:w="60"/>
              <w:left w:type="dxa" w:w="110"/>
              <w:bottom w:type="dxa" w:w="60"/>
              <w:right w:type="dxa" w:w="110"/>
            </w:tcMar>
          </w:tcPr>
          <w:p>
            <w:pPr>
              <w:spacing w:after="0"/>
              <w:jc w:val="left"/>
            </w:pPr>
            <w:r>
              <w:rPr>
                <w:b w:val="false"/>
                <w:bCs w:val="false"/>
                <w:sz w:val="18"/>
                <w:szCs w:val="18"/>
              </w:rPr>
              <w:t xml:space="preserve">vollständiges Kartenuniversum, auch nicht besessene Drucke</w:t>
            </w:r>
          </w:p>
        </w:tc>
        <w:tc>
          <w:tcPr>
            <w:tcW w:type="dxa" w:w="3363"/>
            <w:tcMar>
              <w:top w:type="dxa" w:w="60"/>
              <w:left w:type="dxa" w:w="110"/>
              <w:bottom w:type="dxa" w:w="60"/>
              <w:right w:type="dxa" w:w="110"/>
            </w:tcMar>
          </w:tcPr>
          <w:p>
            <w:pPr>
              <w:spacing w:after="0"/>
              <w:jc w:val="left"/>
            </w:pPr>
            <w:r>
              <w:rPr>
                <w:b w:val="false"/>
                <w:bCs w:val="false"/>
                <w:sz w:val="18"/>
                <w:szCs w:val="18"/>
              </w:rPr>
              <w:t xml:space="preserve">nur besessene Karten</w:t>
            </w:r>
          </w:p>
        </w:tc>
      </w:tr>
      <w:tr>
        <w:trPr>
          <w:tblHeader w:val="false"/>
        </w:trPr>
        <w:tc>
          <w:tcPr>
            <w:tcW w:type="dxa" w:w="2300"/>
            <w:tcMar>
              <w:top w:type="dxa" w:w="60"/>
              <w:left w:type="dxa" w:w="110"/>
              <w:bottom w:type="dxa" w:w="60"/>
              <w:right w:type="dxa" w:w="110"/>
            </w:tcMar>
          </w:tcPr>
          <w:p>
            <w:pPr>
              <w:spacing w:after="0"/>
              <w:jc w:val="left"/>
            </w:pPr>
            <w:r>
              <w:rPr>
                <w:b w:val="false"/>
                <w:bCs w:val="false"/>
                <w:sz w:val="18"/>
                <w:szCs w:val="18"/>
              </w:rPr>
              <w:t xml:space="preserve">Mengenspalten</w:t>
            </w:r>
          </w:p>
        </w:tc>
        <w:tc>
          <w:tcPr>
            <w:tcW w:type="dxa" w:w="3363"/>
            <w:tcMar>
              <w:top w:type="dxa" w:w="60"/>
              <w:left w:type="dxa" w:w="110"/>
              <w:bottom w:type="dxa" w:w="60"/>
              <w:right w:type="dxa" w:w="110"/>
            </w:tcMar>
          </w:tcPr>
          <w:p>
            <w:pPr>
              <w:spacing w:after="0"/>
              <w:jc w:val="left"/>
            </w:pPr>
            <w:r>
              <w:rPr>
                <w:b w:val="false"/>
                <w:bCs w:val="false"/>
                <w:sz w:val="18"/>
                <w:szCs w:val="18"/>
              </w:rPr>
              <w:t xml:space="preserve">dreiwertig: leer, „0“ oder Zahl</w:t>
            </w:r>
          </w:p>
        </w:tc>
        <w:tc>
          <w:tcPr>
            <w:tcW w:type="dxa" w:w="3363"/>
            <w:tcMar>
              <w:top w:type="dxa" w:w="60"/>
              <w:left w:type="dxa" w:w="110"/>
              <w:bottom w:type="dxa" w:w="60"/>
              <w:right w:type="dxa" w:w="110"/>
            </w:tcMar>
          </w:tcPr>
          <w:p>
            <w:pPr>
              <w:spacing w:after="0"/>
              <w:jc w:val="left"/>
            </w:pPr>
            <w:r>
              <w:rPr>
                <w:b w:val="false"/>
                <w:bCs w:val="false"/>
                <w:sz w:val="18"/>
                <w:szCs w:val="18"/>
              </w:rPr>
              <w:t xml:space="preserve">leer oder Zahl</w:t>
            </w:r>
          </w:p>
        </w:tc>
      </w:tr>
      <w:tr>
        <w:trPr>
          <w:tblHeader w:val="false"/>
        </w:trPr>
        <w:tc>
          <w:tcPr>
            <w:tcW w:type="dxa" w:w="2300"/>
            <w:tcMar>
              <w:top w:type="dxa" w:w="60"/>
              <w:left w:type="dxa" w:w="110"/>
              <w:bottom w:type="dxa" w:w="60"/>
              <w:right w:type="dxa" w:w="110"/>
            </w:tcMar>
          </w:tcPr>
          <w:p>
            <w:pPr>
              <w:spacing w:after="0"/>
              <w:jc w:val="left"/>
            </w:pPr>
            <w:r>
              <w:rPr>
                <w:b w:val="false"/>
                <w:bCs w:val="false"/>
                <w:sz w:val="18"/>
                <w:szCs w:val="18"/>
              </w:rPr>
              <w:t xml:space="preserve">Textfelder</w:t>
            </w:r>
          </w:p>
        </w:tc>
        <w:tc>
          <w:tcPr>
            <w:tcW w:type="dxa" w:w="3363"/>
            <w:tcMar>
              <w:top w:type="dxa" w:w="60"/>
              <w:left w:type="dxa" w:w="110"/>
              <w:bottom w:type="dxa" w:w="60"/>
              <w:right w:type="dxa" w:w="110"/>
            </w:tcMar>
          </w:tcPr>
          <w:p>
            <w:pPr>
              <w:spacing w:after="0"/>
              <w:jc w:val="left"/>
            </w:pPr>
            <w:r>
              <w:rPr>
                <w:b w:val="false"/>
                <w:bCs w:val="false"/>
                <w:sz w:val="18"/>
                <w:szCs w:val="18"/>
              </w:rPr>
              <w:t xml:space="preserve">durchgängig in Anführungszeichen</w:t>
            </w:r>
          </w:p>
        </w:tc>
        <w:tc>
          <w:tcPr>
            <w:tcW w:type="dxa" w:w="3363"/>
            <w:tcMar>
              <w:top w:type="dxa" w:w="60"/>
              <w:left w:type="dxa" w:w="110"/>
              <w:bottom w:type="dxa" w:w="60"/>
              <w:right w:type="dxa" w:w="110"/>
            </w:tcMar>
          </w:tcPr>
          <w:p>
            <w:pPr>
              <w:spacing w:after="0"/>
              <w:jc w:val="left"/>
            </w:pPr>
            <w:r>
              <w:rPr>
                <w:b w:val="false"/>
                <w:bCs w:val="false"/>
                <w:sz w:val="18"/>
                <w:szCs w:val="18"/>
              </w:rPr>
              <w:t xml:space="preserve">nur wenn nötig</w:t>
            </w:r>
          </w:p>
        </w:tc>
      </w:tr>
      <w:tr>
        <w:trPr>
          <w:tblHeader w:val="false"/>
        </w:trPr>
        <w:tc>
          <w:tcPr>
            <w:tcW w:type="dxa" w:w="2300"/>
            <w:tcMar>
              <w:top w:type="dxa" w:w="60"/>
              <w:left w:type="dxa" w:w="110"/>
              <w:bottom w:type="dxa" w:w="60"/>
              <w:right w:type="dxa" w:w="110"/>
            </w:tcMar>
          </w:tcPr>
          <w:p>
            <w:pPr>
              <w:spacing w:after="0"/>
              <w:jc w:val="left"/>
            </w:pPr>
            <w:r>
              <w:rPr>
                <w:b w:val="false"/>
                <w:bCs w:val="false"/>
                <w:sz w:val="18"/>
                <w:szCs w:val="18"/>
              </w:rPr>
              <w:t xml:space="preserve">Kopfzeile</w:t>
            </w:r>
          </w:p>
        </w:tc>
        <w:tc>
          <w:tcPr>
            <w:tcW w:type="dxa" w:w="3363"/>
            <w:tcMar>
              <w:top w:type="dxa" w:w="60"/>
              <w:left w:type="dxa" w:w="110"/>
              <w:bottom w:type="dxa" w:w="60"/>
              <w:right w:type="dxa" w:w="110"/>
            </w:tcMar>
          </w:tcPr>
          <w:p>
            <w:pPr>
              <w:spacing w:after="0"/>
              <w:jc w:val="left"/>
            </w:pPr>
            <w:r>
              <w:rPr>
                <w:b w:val="false"/>
                <w:bCs w:val="false"/>
                <w:sz w:val="18"/>
                <w:szCs w:val="18"/>
              </w:rPr>
              <w:t xml:space="preserve">13 Spalten</w:t>
            </w:r>
          </w:p>
        </w:tc>
        <w:tc>
          <w:tcPr>
            <w:tcW w:type="dxa" w:w="3363"/>
            <w:tcMar>
              <w:top w:type="dxa" w:w="60"/>
              <w:left w:type="dxa" w:w="110"/>
              <w:bottom w:type="dxa" w:w="60"/>
              <w:right w:type="dxa" w:w="110"/>
            </w:tcMar>
          </w:tcPr>
          <w:p>
            <w:pPr>
              <w:spacing w:after="0"/>
              <w:jc w:val="left"/>
            </w:pPr>
            <w:r>
              <w:rPr>
                <w:b w:val="false"/>
                <w:bCs w:val="false"/>
                <w:sz w:val="18"/>
                <w:szCs w:val="18"/>
              </w:rPr>
              <w:t xml:space="preserve">identisch</w:t>
            </w:r>
          </w:p>
        </w:tc>
      </w:tr>
    </w:tbl>
    <w:p>
      <w:pPr>
        <w:spacing w:after="200" w:before="60"/>
      </w:pPr>
      <w:r>
        <w:rPr>
          <w:i/>
          <w:iCs/>
          <w:color w:val="595959"/>
          <w:sz w:val="18"/>
          <w:szCs w:val="18"/>
        </w:rPr>
        <w:t xml:space="preserve">Der Tool-Export stammt aus dist/Release und deckt nur einen Teil der Sammlung ab; die Kennzahlen sind daher richtungsweisend, nicht abschließend.</w:t>
      </w:r>
    </w:p>
    <w:p>
      <w:pPr>
        <w:spacing w:after="140"/>
      </w:pPr>
      <w:r>
        <w:t xml:space="preserve">Wesentlich ist die Unterscheidung zwischen leerer Zelle und „0“: Fabrary kennt bei „Have“ 6.905 leere, 3.506 mit „0“ und 6.248 mit einer Zahl größer null. Leer und null bedeuten also nicht dasselbe — eine Unterscheidung, die das heutige Tool nicht trifft.</w:t>
      </w:r>
    </w:p>
    <w:p>
      <w:pPr>
        <w:spacing w:after="140"/>
      </w:pPr>
      <w:r>
        <w:t xml:space="preserve">Die Referenzdatei liefert außerdem das vollständige zulässige Vokabular:</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7226"/>
      </w:tblGrid>
      <w:tr>
        <w:trPr>
          <w:tblHeader/>
        </w:trPr>
        <w:tc>
          <w:tcPr>
            <w:tcW w:type="dxa" w:w="1800"/>
            <w:shd w:fill="E7E6E6" w:val="clear"/>
            <w:tcMar>
              <w:top w:type="dxa" w:w="60"/>
              <w:left w:type="dxa" w:w="110"/>
              <w:bottom w:type="dxa" w:w="60"/>
              <w:right w:type="dxa" w:w="110"/>
            </w:tcMar>
          </w:tcPr>
          <w:p>
            <w:pPr>
              <w:spacing w:after="0"/>
              <w:jc w:val="left"/>
            </w:pPr>
            <w:r>
              <w:rPr>
                <w:b/>
                <w:bCs/>
                <w:sz w:val="18"/>
                <w:szCs w:val="18"/>
              </w:rPr>
              <w:t xml:space="preserve">Spalte</w:t>
            </w:r>
          </w:p>
        </w:tc>
        <w:tc>
          <w:tcPr>
            <w:tcW w:type="dxa" w:w="7226"/>
            <w:shd w:fill="E7E6E6" w:val="clear"/>
            <w:tcMar>
              <w:top w:type="dxa" w:w="60"/>
              <w:left w:type="dxa" w:w="110"/>
              <w:bottom w:type="dxa" w:w="60"/>
              <w:right w:type="dxa" w:w="110"/>
            </w:tcMar>
          </w:tcPr>
          <w:p>
            <w:pPr>
              <w:spacing w:after="0"/>
              <w:jc w:val="left"/>
            </w:pPr>
            <w:r>
              <w:rPr>
                <w:b/>
                <w:bCs/>
                <w:sz w:val="18"/>
                <w:szCs w:val="18"/>
              </w:rPr>
              <w:t xml:space="preserve">Zulässige Werte laut Referenz</w:t>
            </w:r>
          </w:p>
        </w:tc>
      </w:tr>
      <w:tr>
        <w:trPr>
          <w:tblHeader w:val="false"/>
        </w:trPr>
        <w:tc>
          <w:tcPr>
            <w:tcW w:type="dxa" w:w="1800"/>
            <w:tcMar>
              <w:top w:type="dxa" w:w="60"/>
              <w:left w:type="dxa" w:w="110"/>
              <w:bottom w:type="dxa" w:w="60"/>
              <w:right w:type="dxa" w:w="110"/>
            </w:tcMar>
          </w:tcPr>
          <w:p>
            <w:pPr>
              <w:spacing w:after="0"/>
              <w:jc w:val="left"/>
            </w:pPr>
            <w:r>
              <w:rPr>
                <w:b w:val="false"/>
                <w:bCs w:val="false"/>
                <w:sz w:val="18"/>
                <w:szCs w:val="18"/>
              </w:rPr>
              <w:t xml:space="preserve">Foiling</w:t>
            </w:r>
          </w:p>
        </w:tc>
        <w:tc>
          <w:tcPr>
            <w:tcW w:type="dxa" w:w="7226"/>
            <w:tcMar>
              <w:top w:type="dxa" w:w="60"/>
              <w:left w:type="dxa" w:w="110"/>
              <w:bottom w:type="dxa" w:w="60"/>
              <w:right w:type="dxa" w:w="110"/>
            </w:tcMar>
          </w:tcPr>
          <w:p>
            <w:pPr>
              <w:spacing w:after="0"/>
              <w:jc w:val="left"/>
            </w:pPr>
            <w:r>
              <w:rPr>
                <w:b w:val="false"/>
                <w:bCs w:val="false"/>
                <w:sz w:val="18"/>
                <w:szCs w:val="18"/>
              </w:rPr>
              <w:t xml:space="preserve">(leer) = Standard, Rainbow, Cold, Gold</w:t>
            </w:r>
          </w:p>
        </w:tc>
      </w:tr>
      <w:tr>
        <w:trPr>
          <w:tblHeader w:val="false"/>
        </w:trPr>
        <w:tc>
          <w:tcPr>
            <w:tcW w:type="dxa" w:w="1800"/>
            <w:tcMar>
              <w:top w:type="dxa" w:w="60"/>
              <w:left w:type="dxa" w:w="110"/>
              <w:bottom w:type="dxa" w:w="60"/>
              <w:right w:type="dxa" w:w="110"/>
            </w:tcMar>
          </w:tcPr>
          <w:p>
            <w:pPr>
              <w:spacing w:after="0"/>
              <w:jc w:val="left"/>
            </w:pPr>
            <w:r>
              <w:rPr>
                <w:b w:val="false"/>
                <w:bCs w:val="false"/>
                <w:sz w:val="18"/>
                <w:szCs w:val="18"/>
              </w:rPr>
              <w:t xml:space="preserve">Treatment</w:t>
            </w:r>
          </w:p>
        </w:tc>
        <w:tc>
          <w:tcPr>
            <w:tcW w:type="dxa" w:w="7226"/>
            <w:tcMar>
              <w:top w:type="dxa" w:w="60"/>
              <w:left w:type="dxa" w:w="110"/>
              <w:bottom w:type="dxa" w:w="60"/>
              <w:right w:type="dxa" w:w="110"/>
            </w:tcMar>
          </w:tcPr>
          <w:p>
            <w:pPr>
              <w:spacing w:after="0"/>
              <w:jc w:val="left"/>
            </w:pPr>
            <w:r>
              <w:rPr>
                <w:b w:val="false"/>
                <w:bCs w:val="false"/>
                <w:sz w:val="18"/>
                <w:szCs w:val="18"/>
              </w:rPr>
              <w:t xml:space="preserve">(leer), Extended Art, Full Art, Alternate Art, Alternate Border, Alternate Text</w:t>
            </w:r>
          </w:p>
        </w:tc>
      </w:tr>
      <w:tr>
        <w:trPr>
          <w:tblHeader w:val="false"/>
        </w:trPr>
        <w:tc>
          <w:tcPr>
            <w:tcW w:type="dxa" w:w="1800"/>
            <w:tcMar>
              <w:top w:type="dxa" w:w="60"/>
              <w:left w:type="dxa" w:w="110"/>
              <w:bottom w:type="dxa" w:w="60"/>
              <w:right w:type="dxa" w:w="110"/>
            </w:tcMar>
          </w:tcPr>
          <w:p>
            <w:pPr>
              <w:spacing w:after="0"/>
              <w:jc w:val="left"/>
            </w:pPr>
            <w:r>
              <w:rPr>
                <w:b w:val="false"/>
                <w:bCs w:val="false"/>
                <w:sz w:val="18"/>
                <w:szCs w:val="18"/>
              </w:rPr>
              <w:t xml:space="preserve">Edition</w:t>
            </w:r>
          </w:p>
        </w:tc>
        <w:tc>
          <w:tcPr>
            <w:tcW w:type="dxa" w:w="7226"/>
            <w:tcMar>
              <w:top w:type="dxa" w:w="60"/>
              <w:left w:type="dxa" w:w="110"/>
              <w:bottom w:type="dxa" w:w="60"/>
              <w:right w:type="dxa" w:w="110"/>
            </w:tcMar>
          </w:tcPr>
          <w:p>
            <w:pPr>
              <w:spacing w:after="0"/>
              <w:jc w:val="left"/>
            </w:pPr>
            <w:r>
              <w:rPr>
                <w:b w:val="false"/>
                <w:bCs w:val="false"/>
                <w:sz w:val="18"/>
                <w:szCs w:val="18"/>
              </w:rPr>
              <w:t xml:space="preserve">(leer), Unlimited, First, Alpha</w:t>
            </w:r>
          </w:p>
        </w:tc>
      </w:tr>
      <w:tr>
        <w:trPr>
          <w:tblHeader w:val="false"/>
        </w:trPr>
        <w:tc>
          <w:tcPr>
            <w:tcW w:type="dxa" w:w="1800"/>
            <w:tcMar>
              <w:top w:type="dxa" w:w="60"/>
              <w:left w:type="dxa" w:w="110"/>
              <w:bottom w:type="dxa" w:w="60"/>
              <w:right w:type="dxa" w:w="110"/>
            </w:tcMar>
          </w:tcPr>
          <w:p>
            <w:pPr>
              <w:spacing w:after="0"/>
              <w:jc w:val="left"/>
            </w:pPr>
            <w:r>
              <w:rPr>
                <w:b w:val="false"/>
                <w:bCs w:val="false"/>
                <w:sz w:val="18"/>
                <w:szCs w:val="18"/>
              </w:rPr>
              <w:t xml:space="preserve">Pitch</w:t>
            </w:r>
          </w:p>
        </w:tc>
        <w:tc>
          <w:tcPr>
            <w:tcW w:type="dxa" w:w="7226"/>
            <w:tcMar>
              <w:top w:type="dxa" w:w="60"/>
              <w:left w:type="dxa" w:w="110"/>
              <w:bottom w:type="dxa" w:w="60"/>
              <w:right w:type="dxa" w:w="110"/>
            </w:tcMar>
          </w:tcPr>
          <w:p>
            <w:pPr>
              <w:spacing w:after="0"/>
              <w:jc w:val="left"/>
            </w:pPr>
            <w:r>
              <w:rPr>
                <w:b w:val="false"/>
                <w:bCs w:val="false"/>
                <w:sz w:val="18"/>
                <w:szCs w:val="18"/>
              </w:rPr>
              <w:t xml:space="preserve">(leer), Red, Yellow, Blue, Purple</w:t>
            </w:r>
          </w:p>
        </w:tc>
      </w:tr>
      <w:tr>
        <w:trPr>
          <w:tblHeader w:val="false"/>
        </w:trPr>
        <w:tc>
          <w:tcPr>
            <w:tcW w:type="dxa" w:w="1800"/>
            <w:tcMar>
              <w:top w:type="dxa" w:w="60"/>
              <w:left w:type="dxa" w:w="110"/>
              <w:bottom w:type="dxa" w:w="60"/>
              <w:right w:type="dxa" w:w="110"/>
            </w:tcMar>
          </w:tcPr>
          <w:p>
            <w:pPr>
              <w:spacing w:after="0"/>
              <w:jc w:val="left"/>
            </w:pPr>
            <w:r>
              <w:rPr>
                <w:b w:val="false"/>
                <w:bCs w:val="false"/>
                <w:sz w:val="18"/>
                <w:szCs w:val="18"/>
              </w:rPr>
              <w:t xml:space="preserve">Set number</w:t>
            </w:r>
          </w:p>
        </w:tc>
        <w:tc>
          <w:tcPr>
            <w:tcW w:type="dxa" w:w="7226"/>
            <w:tcMar>
              <w:top w:type="dxa" w:w="60"/>
              <w:left w:type="dxa" w:w="110"/>
              <w:bottom w:type="dxa" w:w="60"/>
              <w:right w:type="dxa" w:w="110"/>
            </w:tcMar>
          </w:tcPr>
          <w:p>
            <w:pPr>
              <w:spacing w:after="0"/>
              <w:jc w:val="left"/>
            </w:pPr>
            <w:r>
              <w:rPr>
                <w:b w:val="false"/>
                <w:bCs w:val="false"/>
                <w:sz w:val="18"/>
                <w:szCs w:val="18"/>
              </w:rPr>
              <w:t xml:space="preserve">116 verschiedene Set-Präfixe über 106 Set-Namen</w:t>
            </w:r>
          </w:p>
        </w:tc>
      </w:tr>
    </w:tbl>
    <w:p>
      <w:pPr>
        <w:spacing w:after="140"/>
      </w:pPr>
      <w:r>
        <w:t xml:space="preserve">Ein Abgleich des heutigen Tool-Exports gegen diese Referenz zeigt, woran eine Zuordnung tatsächlich scheitert — und woran nicht:</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2200"/>
        <w:gridCol w:w="4626"/>
      </w:tblGrid>
      <w:tr>
        <w:trPr>
          <w:tblHeader/>
        </w:trPr>
        <w:tc>
          <w:tcPr>
            <w:tcW w:type="dxa" w:w="2200"/>
            <w:shd w:fill="E7E6E6" w:val="clear"/>
            <w:tcMar>
              <w:top w:type="dxa" w:w="60"/>
              <w:left w:type="dxa" w:w="110"/>
              <w:bottom w:type="dxa" w:w="60"/>
              <w:right w:type="dxa" w:w="110"/>
            </w:tcMar>
          </w:tcPr>
          <w:p>
            <w:pPr>
              <w:spacing w:after="0"/>
              <w:jc w:val="left"/>
            </w:pPr>
            <w:r>
              <w:rPr>
                <w:b/>
                <w:bCs/>
                <w:sz w:val="18"/>
                <w:szCs w:val="18"/>
              </w:rPr>
              <w:t xml:space="preserve">Feld</w:t>
            </w:r>
          </w:p>
        </w:tc>
        <w:tc>
          <w:tcPr>
            <w:tcW w:type="dxa" w:w="2200"/>
            <w:shd w:fill="E7E6E6" w:val="clear"/>
            <w:tcMar>
              <w:top w:type="dxa" w:w="60"/>
              <w:left w:type="dxa" w:w="110"/>
              <w:bottom w:type="dxa" w:w="60"/>
              <w:right w:type="dxa" w:w="110"/>
            </w:tcMar>
          </w:tcPr>
          <w:p>
            <w:pPr>
              <w:spacing w:after="0"/>
              <w:jc w:val="left"/>
            </w:pPr>
            <w:r>
              <w:rPr>
                <w:b/>
                <w:bCs/>
                <w:sz w:val="18"/>
                <w:szCs w:val="18"/>
              </w:rPr>
              <w:t xml:space="preserve">Treffer in der Referenz</w:t>
            </w:r>
          </w:p>
        </w:tc>
        <w:tc>
          <w:tcPr>
            <w:tcW w:type="dxa" w:w="4626"/>
            <w:shd w:fill="E7E6E6" w:val="clear"/>
            <w:tcMar>
              <w:top w:type="dxa" w:w="60"/>
              <w:left w:type="dxa" w:w="110"/>
              <w:bottom w:type="dxa" w:w="60"/>
              <w:right w:type="dxa" w:w="110"/>
            </w:tcMar>
          </w:tcPr>
          <w:p>
            <w:pPr>
              <w:spacing w:after="0"/>
              <w:jc w:val="left"/>
            </w:pPr>
            <w:r>
              <w:rPr>
                <w:b/>
                <w:bCs/>
                <w:sz w:val="18"/>
                <w:szCs w:val="18"/>
              </w:rPr>
              <w:t xml:space="preserve">Bewertung</w:t>
            </w:r>
          </w:p>
        </w:tc>
      </w:tr>
      <w:tr>
        <w:trPr>
          <w:tblHeader w:val="false"/>
        </w:trPr>
        <w:tc>
          <w:tcPr>
            <w:tcW w:type="dxa" w:w="2200"/>
            <w:tcMar>
              <w:top w:type="dxa" w:w="60"/>
              <w:left w:type="dxa" w:w="110"/>
              <w:bottom w:type="dxa" w:w="60"/>
              <w:right w:type="dxa" w:w="110"/>
            </w:tcMar>
          </w:tcPr>
          <w:p>
            <w:pPr>
              <w:spacing w:after="0"/>
              <w:jc w:val="left"/>
            </w:pPr>
            <w:r>
              <w:rPr>
                <w:b w:val="false"/>
                <w:bCs w:val="false"/>
                <w:sz w:val="18"/>
                <w:szCs w:val="18"/>
              </w:rPr>
              <w:t xml:space="preserve">Set number</w:t>
            </w:r>
          </w:p>
        </w:tc>
        <w:tc>
          <w:tcPr>
            <w:tcW w:type="dxa" w:w="2200"/>
            <w:tcMar>
              <w:top w:type="dxa" w:w="60"/>
              <w:left w:type="dxa" w:w="110"/>
              <w:bottom w:type="dxa" w:w="60"/>
              <w:right w:type="dxa" w:w="110"/>
            </w:tcMar>
          </w:tcPr>
          <w:p>
            <w:pPr>
              <w:spacing w:after="0"/>
              <w:jc w:val="left"/>
            </w:pPr>
            <w:r>
              <w:rPr>
                <w:b w:val="false"/>
                <w:bCs w:val="false"/>
                <w:sz w:val="18"/>
                <w:szCs w:val="18"/>
              </w:rPr>
              <w:t xml:space="preserve">1.238 von 1.238 (100 %)</w:t>
            </w:r>
          </w:p>
        </w:tc>
        <w:tc>
          <w:tcPr>
            <w:tcW w:type="dxa" w:w="4626"/>
            <w:tcMar>
              <w:top w:type="dxa" w:w="60"/>
              <w:left w:type="dxa" w:w="110"/>
              <w:bottom w:type="dxa" w:w="60"/>
              <w:right w:type="dxa" w:w="110"/>
            </w:tcMar>
          </w:tcPr>
          <w:p>
            <w:pPr>
              <w:spacing w:after="0"/>
              <w:jc w:val="left"/>
            </w:pPr>
            <w:r>
              <w:rPr>
                <w:b w:val="false"/>
                <w:bCs w:val="false"/>
                <w:sz w:val="18"/>
                <w:szCs w:val="18"/>
              </w:rPr>
              <w:t xml:space="preserve">Stabiler Verbundschlüssel — hierauf sollte zugeordnet werden</w:t>
            </w:r>
          </w:p>
        </w:tc>
      </w:tr>
      <w:tr>
        <w:trPr>
          <w:tblHeader w:val="false"/>
        </w:trPr>
        <w:tc>
          <w:tcPr>
            <w:tcW w:type="dxa" w:w="2200"/>
            <w:tcMar>
              <w:top w:type="dxa" w:w="60"/>
              <w:left w:type="dxa" w:w="110"/>
              <w:bottom w:type="dxa" w:w="60"/>
              <w:right w:type="dxa" w:w="110"/>
            </w:tcMar>
          </w:tcPr>
          <w:p>
            <w:pPr>
              <w:spacing w:after="0"/>
              <w:jc w:val="left"/>
            </w:pPr>
            <w:r>
              <w:rPr>
                <w:b w:val="false"/>
                <w:bCs w:val="false"/>
                <w:sz w:val="18"/>
                <w:szCs w:val="18"/>
              </w:rPr>
              <w:t xml:space="preserve">Identifier</w:t>
            </w:r>
          </w:p>
        </w:tc>
        <w:tc>
          <w:tcPr>
            <w:tcW w:type="dxa" w:w="2200"/>
            <w:tcMar>
              <w:top w:type="dxa" w:w="60"/>
              <w:left w:type="dxa" w:w="110"/>
              <w:bottom w:type="dxa" w:w="60"/>
              <w:right w:type="dxa" w:w="110"/>
            </w:tcMar>
          </w:tcPr>
          <w:p>
            <w:pPr>
              <w:spacing w:after="0"/>
              <w:jc w:val="left"/>
            </w:pPr>
            <w:r>
              <w:rPr>
                <w:b w:val="false"/>
                <w:bCs w:val="false"/>
                <w:sz w:val="18"/>
                <w:szCs w:val="18"/>
              </w:rPr>
              <w:t xml:space="preserve">854 von 860 (99,3 %)</w:t>
            </w:r>
          </w:p>
        </w:tc>
        <w:tc>
          <w:tcPr>
            <w:tcW w:type="dxa" w:w="4626"/>
            <w:tcMar>
              <w:top w:type="dxa" w:w="60"/>
              <w:left w:type="dxa" w:w="110"/>
              <w:bottom w:type="dxa" w:w="60"/>
              <w:right w:type="dxa" w:w="110"/>
            </w:tcMar>
          </w:tcPr>
          <w:p>
            <w:pPr>
              <w:spacing w:after="0"/>
              <w:jc w:val="left"/>
            </w:pPr>
            <w:r>
              <w:rPr>
                <w:b w:val="false"/>
                <w:bCs w:val="false"/>
                <w:sz w:val="18"/>
                <w:szCs w:val="18"/>
              </w:rPr>
              <w:t xml:space="preserve">Sechs Abweichungen, u. a. tremor-of-arathael und welcome-to-rathe — als Schlüssel ungeeignet</w:t>
            </w:r>
          </w:p>
        </w:tc>
      </w:tr>
      <w:tr>
        <w:trPr>
          <w:tblHeader w:val="false"/>
        </w:trPr>
        <w:tc>
          <w:tcPr>
            <w:tcW w:type="dxa" w:w="2200"/>
            <w:tcMar>
              <w:top w:type="dxa" w:w="60"/>
              <w:left w:type="dxa" w:w="110"/>
              <w:bottom w:type="dxa" w:w="60"/>
              <w:right w:type="dxa" w:w="110"/>
            </w:tcMar>
          </w:tcPr>
          <w:p>
            <w:pPr>
              <w:spacing w:after="0"/>
              <w:jc w:val="left"/>
            </w:pPr>
            <w:r>
              <w:rPr>
                <w:b w:val="false"/>
                <w:bCs w:val="false"/>
                <w:sz w:val="18"/>
                <w:szCs w:val="18"/>
              </w:rPr>
              <w:t xml:space="preserve">Set (Name)</w:t>
            </w:r>
          </w:p>
        </w:tc>
        <w:tc>
          <w:tcPr>
            <w:tcW w:type="dxa" w:w="2200"/>
            <w:tcMar>
              <w:top w:type="dxa" w:w="60"/>
              <w:left w:type="dxa" w:w="110"/>
              <w:bottom w:type="dxa" w:w="60"/>
              <w:right w:type="dxa" w:w="110"/>
            </w:tcMar>
          </w:tcPr>
          <w:p>
            <w:pPr>
              <w:spacing w:after="0"/>
              <w:jc w:val="left"/>
            </w:pPr>
            <w:r>
              <w:rPr>
                <w:b w:val="false"/>
                <w:bCs w:val="false"/>
                <w:sz w:val="18"/>
                <w:szCs w:val="18"/>
              </w:rPr>
              <w:t xml:space="preserve">6 von 8 (75 %)</w:t>
            </w:r>
          </w:p>
        </w:tc>
        <w:tc>
          <w:tcPr>
            <w:tcW w:type="dxa" w:w="4626"/>
            <w:tcMar>
              <w:top w:type="dxa" w:w="60"/>
              <w:left w:type="dxa" w:w="110"/>
              <w:bottom w:type="dxa" w:w="60"/>
              <w:right w:type="dxa" w:w="110"/>
            </w:tcMar>
          </w:tcPr>
          <w:p>
            <w:pPr>
              <w:spacing w:after="0"/>
              <w:jc w:val="left"/>
            </w:pPr>
            <w:r>
              <w:rPr>
                <w:b w:val="false"/>
                <w:bCs w:val="false"/>
                <w:sz w:val="18"/>
                <w:szCs w:val="18"/>
              </w:rPr>
              <w:t xml:space="preserve">„History Pack 2“ und „History Pack 3“ kennt Fabrary unter anderem Namen</w:t>
            </w:r>
          </w:p>
        </w:tc>
      </w:tr>
    </w:tbl>
    <w:p>
      <w:pPr>
        <w:spacing w:after="140"/>
      </w:pPr>
      <w:r>
        <w:t xml:space="preserve">Daraus folgt die wichtigste Einzelentscheidung für den Fabrary-Adapter: Zugeordnet wird über die Kartennummer (Set number), nicht über Name oder Identifier. Die Kartennummer trifft zu 100 Prozent, die textuellen Felder nicht.</w:t>
      </w:r>
    </w:p>
    <w:p>
      <w:pPr>
        <w:spacing w:after="140"/>
      </w:pPr>
      <w:r>
        <w:rPr>
          <w:b/>
          <w:bCs/>
        </w:rPr>
        <w:t xml:space="preserve">Eine Einschränkung der Referenz ist zu beachten: </w:t>
      </w:r>
      <w:r>
        <w:t xml:space="preserve">87 Zeilen lassen sich anhand ihrer sichtbaren Spalten nicht eindeutig unterscheiden — es gibt Paare mit identischem Identifier, identischer Kartennummer, Edition, Foiling und Treatment, von denen eines Mengen trägt und das andere leer bleibt. Fabrary unterscheidet diese Drucke intern, die CSV bildet den Unterschied nicht ab. Ein Abgleich muss diesen Fall daher ausdrücklich behandeln, statt Eindeutigkeit anzunehmen.</w:t>
      </w:r>
    </w:p>
    <w:p>
      <w:pPr>
        <w:spacing w:after="140"/>
      </w:pPr>
      <w:r>
        <w:t xml:space="preserve">Ein Nebenbefund aus demselben Abgleich: Der heutige Export schreibt Kartennamen ungetrimmt, etwa „Barkbone Strapping “ mit angehängtem Leerzeichen. In der Referenz kommt das nicht vor.</w:t>
      </w:r>
    </w:p>
    <w:p>
      <w:pPr>
        <w:pStyle w:val="Heading2"/>
        <w:spacing w:after="120" w:before="240"/>
      </w:pPr>
      <w:r>
        <w:t xml:space="preserve">4.3 Übertragung auf die übrigen Zielsysteme</w:t>
      </w:r>
    </w:p>
    <w:p>
      <w:pPr>
        <w:spacing w:after="140"/>
      </w:pPr>
      <w:r>
        <w:t xml:space="preserve">Das Verfahren ist nicht auf Fabrary beschränkt. Auch Cardmarket, Dragonshield und TCG Powertools erlauben den Export der eigenen Bestände. Für jedes Zielsystem sollte daher einmalig eine Referenzdatei beschafft und im Projekt abgelegt werden; sie dient als Formatvorgabe, als Vokabularquelle und als Testgrundlage. Derzeit liegt nur die Fabrary-Referenz vor — die übrigen drei zu beschaffen ist eine der ersten Aufgaben und kostet wenig.</w:t>
      </w:r>
    </w:p>
    <w:p>
      <w:pPr>
        <w:pStyle w:val="Heading1"/>
        <w:spacing w:after="160" w:before="320"/>
      </w:pPr>
      <w:r>
        <w:t xml:space="preserve">5. Datenmodell und Repository-Aufbau</w:t>
      </w:r>
    </w:p>
    <w:p>
      <w:pPr>
        <w:spacing w:after="140"/>
      </w:pPr>
      <w:r>
        <w:t xml:space="preserve">Kern des Vorschlags ist, dass der Schlüssel die Druck-Ebene ist und nicht der Kartenname. Ein Bestand hängt immer an einem konkreten Druck in einer konkreten Foliierung. Da die Daten als Dateien vorliegen, ist das Datenmodell zugleich der Aufbau des Repositorys — und damit unmittelbar sichtbar:</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900"/>
        <w:gridCol w:w="3126"/>
        <w:gridCol w:w="3000"/>
      </w:tblGrid>
      <w:tr>
        <w:trPr>
          <w:tblHeader/>
        </w:trPr>
        <w:tc>
          <w:tcPr>
            <w:tcW w:type="dxa" w:w="2900"/>
            <w:shd w:fill="E7E6E6" w:val="clear"/>
            <w:tcMar>
              <w:top w:type="dxa" w:w="60"/>
              <w:left w:type="dxa" w:w="110"/>
              <w:bottom w:type="dxa" w:w="60"/>
              <w:right w:type="dxa" w:w="110"/>
            </w:tcMar>
          </w:tcPr>
          <w:p>
            <w:pPr>
              <w:spacing w:after="0"/>
              <w:jc w:val="left"/>
            </w:pPr>
            <w:r>
              <w:rPr>
                <w:b/>
                <w:bCs/>
                <w:sz w:val="18"/>
                <w:szCs w:val="18"/>
              </w:rPr>
              <w:t xml:space="preserve">Pfad</w:t>
            </w:r>
          </w:p>
        </w:tc>
        <w:tc>
          <w:tcPr>
            <w:tcW w:type="dxa" w:w="3126"/>
            <w:shd w:fill="E7E6E6" w:val="clear"/>
            <w:tcMar>
              <w:top w:type="dxa" w:w="60"/>
              <w:left w:type="dxa" w:w="110"/>
              <w:bottom w:type="dxa" w:w="60"/>
              <w:right w:type="dxa" w:w="110"/>
            </w:tcMar>
          </w:tcPr>
          <w:p>
            <w:pPr>
              <w:spacing w:after="0"/>
              <w:jc w:val="left"/>
            </w:pPr>
            <w:r>
              <w:rPr>
                <w:b/>
                <w:bCs/>
                <w:sz w:val="18"/>
                <w:szCs w:val="18"/>
              </w:rPr>
              <w:t xml:space="preserve">Inhalt</w:t>
            </w:r>
          </w:p>
        </w:tc>
        <w:tc>
          <w:tcPr>
            <w:tcW w:type="dxa" w:w="3000"/>
            <w:shd w:fill="E7E6E6" w:val="clear"/>
            <w:tcMar>
              <w:top w:type="dxa" w:w="60"/>
              <w:left w:type="dxa" w:w="110"/>
              <w:bottom w:type="dxa" w:w="60"/>
              <w:right w:type="dxa" w:w="110"/>
            </w:tcMar>
          </w:tcPr>
          <w:p>
            <w:pPr>
              <w:spacing w:after="0"/>
              <w:jc w:val="left"/>
            </w:pPr>
            <w:r>
              <w:rPr>
                <w:b/>
                <w:bCs/>
                <w:sz w:val="18"/>
                <w:szCs w:val="18"/>
              </w:rPr>
              <w:t xml:space="preserve">Herkunft / Pflege</w:t>
            </w:r>
          </w:p>
        </w:tc>
      </w:tr>
      <w:tr>
        <w:trPr>
          <w:tblHeader w:val="false"/>
        </w:trPr>
        <w:tc>
          <w:tcPr>
            <w:tcW w:type="dxa" w:w="2900"/>
            <w:tcMar>
              <w:top w:type="dxa" w:w="60"/>
              <w:left w:type="dxa" w:w="110"/>
              <w:bottom w:type="dxa" w:w="60"/>
              <w:right w:type="dxa" w:w="110"/>
            </w:tcMar>
          </w:tcPr>
          <w:p>
            <w:pPr>
              <w:spacing w:after="0"/>
              <w:jc w:val="left"/>
            </w:pPr>
            <w:r>
              <w:rPr>
                <w:b w:val="false"/>
                <w:bCs w:val="false"/>
                <w:sz w:val="18"/>
                <w:szCs w:val="18"/>
              </w:rPr>
              <w:t xml:space="preserve">index.html</w:t>
            </w:r>
          </w:p>
        </w:tc>
        <w:tc>
          <w:tcPr>
            <w:tcW w:type="dxa" w:w="3126"/>
            <w:tcMar>
              <w:top w:type="dxa" w:w="60"/>
              <w:left w:type="dxa" w:w="110"/>
              <w:bottom w:type="dxa" w:w="60"/>
              <w:right w:type="dxa" w:w="110"/>
            </w:tcMar>
          </w:tcPr>
          <w:p>
            <w:pPr>
              <w:spacing w:after="0"/>
              <w:jc w:val="left"/>
            </w:pPr>
            <w:r>
              <w:rPr>
                <w:b w:val="false"/>
                <w:bCs w:val="false"/>
                <w:sz w:val="18"/>
                <w:szCs w:val="18"/>
              </w:rPr>
              <w:t xml:space="preserve">Die Anwendung, in sich geschlossen</w:t>
            </w:r>
          </w:p>
        </w:tc>
        <w:tc>
          <w:tcPr>
            <w:tcW w:type="dxa" w:w="3000"/>
            <w:tcMar>
              <w:top w:type="dxa" w:w="60"/>
              <w:left w:type="dxa" w:w="110"/>
              <w:bottom w:type="dxa" w:w="60"/>
              <w:right w:type="dxa" w:w="110"/>
            </w:tcMar>
          </w:tcPr>
          <w:p>
            <w:pPr>
              <w:spacing w:after="0"/>
              <w:jc w:val="left"/>
            </w:pPr>
            <w:r>
              <w:rPr>
                <w:b w:val="false"/>
                <w:bCs w:val="false"/>
                <w:sz w:val="18"/>
                <w:szCs w:val="18"/>
              </w:rPr>
              <w:t xml:space="preserve">Versioniert; im Browser zu öffnen</w:t>
            </w:r>
          </w:p>
        </w:tc>
      </w:tr>
      <w:tr>
        <w:trPr>
          <w:tblHeader w:val="false"/>
        </w:trPr>
        <w:tc>
          <w:tcPr>
            <w:tcW w:type="dxa" w:w="2900"/>
            <w:tcMar>
              <w:top w:type="dxa" w:w="60"/>
              <w:left w:type="dxa" w:w="110"/>
              <w:bottom w:type="dxa" w:w="60"/>
              <w:right w:type="dxa" w:w="110"/>
            </w:tcMar>
          </w:tcPr>
          <w:p>
            <w:pPr>
              <w:spacing w:after="0"/>
              <w:jc w:val="left"/>
            </w:pPr>
            <w:r>
              <w:rPr>
                <w:b w:val="false"/>
                <w:bCs w:val="false"/>
                <w:sz w:val="18"/>
                <w:szCs w:val="18"/>
              </w:rPr>
              <w:t xml:space="preserve">data/collection.csv</w:t>
            </w:r>
          </w:p>
        </w:tc>
        <w:tc>
          <w:tcPr>
            <w:tcW w:type="dxa" w:w="3126"/>
            <w:tcMar>
              <w:top w:type="dxa" w:w="60"/>
              <w:left w:type="dxa" w:w="110"/>
              <w:bottom w:type="dxa" w:w="60"/>
              <w:right w:type="dxa" w:w="110"/>
            </w:tcMar>
          </w:tcPr>
          <w:p>
            <w:pPr>
              <w:spacing w:after="0"/>
              <w:jc w:val="left"/>
            </w:pPr>
            <w:r>
              <w:rPr>
                <w:b w:val="false"/>
                <w:bCs w:val="false"/>
                <w:sz w:val="18"/>
                <w:szCs w:val="18"/>
              </w:rPr>
              <w:t xml:space="preserve">printing_id + foiling → Menge, Zustand, Sprache, Playset-Ziel, Notiz</w:t>
            </w:r>
          </w:p>
        </w:tc>
        <w:tc>
          <w:tcPr>
            <w:tcW w:type="dxa" w:w="3000"/>
            <w:tcMar>
              <w:top w:type="dxa" w:w="60"/>
              <w:left w:type="dxa" w:w="110"/>
              <w:bottom w:type="dxa" w:w="60"/>
              <w:right w:type="dxa" w:w="110"/>
            </w:tcMar>
          </w:tcPr>
          <w:p>
            <w:pPr>
              <w:spacing w:after="0"/>
              <w:jc w:val="left"/>
            </w:pPr>
            <w:r>
              <w:rPr>
                <w:b w:val="false"/>
                <w:bCs w:val="false"/>
                <w:sz w:val="18"/>
                <w:szCs w:val="18"/>
              </w:rPr>
              <w:t xml:space="preserve">Nutzereigen — der eigentliche Bestand; die einzige Datei, die sich häufig ändert</w:t>
            </w:r>
          </w:p>
        </w:tc>
      </w:tr>
      <w:tr>
        <w:trPr>
          <w:tblHeader w:val="false"/>
        </w:trPr>
        <w:tc>
          <w:tcPr>
            <w:tcW w:type="dxa" w:w="2900"/>
            <w:tcMar>
              <w:top w:type="dxa" w:w="60"/>
              <w:left w:type="dxa" w:w="110"/>
              <w:bottom w:type="dxa" w:w="60"/>
              <w:right w:type="dxa" w:w="110"/>
            </w:tcMar>
          </w:tcPr>
          <w:p>
            <w:pPr>
              <w:spacing w:after="0"/>
              <w:jc w:val="left"/>
            </w:pPr>
            <w:r>
              <w:rPr>
                <w:b w:val="false"/>
                <w:bCs w:val="false"/>
                <w:sz w:val="18"/>
                <w:szCs w:val="18"/>
              </w:rPr>
              <w:t xml:space="preserve">reference/card-printing.csv, card.csv, set.csv</w:t>
            </w:r>
          </w:p>
        </w:tc>
        <w:tc>
          <w:tcPr>
            <w:tcW w:type="dxa" w:w="3126"/>
            <w:tcMar>
              <w:top w:type="dxa" w:w="60"/>
              <w:left w:type="dxa" w:w="110"/>
              <w:bottom w:type="dxa" w:w="60"/>
              <w:right w:type="dxa" w:w="110"/>
            </w:tcMar>
          </w:tcPr>
          <w:p>
            <w:pPr>
              <w:spacing w:after="0"/>
              <w:jc w:val="left"/>
            </w:pPr>
            <w:r>
              <w:rPr>
                <w:b w:val="false"/>
                <w:bCs w:val="false"/>
                <w:sz w:val="18"/>
                <w:szCs w:val="18"/>
              </w:rPr>
              <w:t xml:space="preserve">Kartenstammdaten auf Druck-Ebene</w:t>
            </w:r>
          </w:p>
        </w:tc>
        <w:tc>
          <w:tcPr>
            <w:tcW w:type="dxa" w:w="3000"/>
            <w:tcMar>
              <w:top w:type="dxa" w:w="60"/>
              <w:left w:type="dxa" w:w="110"/>
              <w:bottom w:type="dxa" w:w="60"/>
              <w:right w:type="dxa" w:w="110"/>
            </w:tcMar>
          </w:tcPr>
          <w:p>
            <w:pPr>
              <w:spacing w:after="0"/>
              <w:jc w:val="left"/>
            </w:pPr>
            <w:r>
              <w:rPr>
                <w:b w:val="false"/>
                <w:bCs w:val="false"/>
                <w:sz w:val="18"/>
                <w:szCs w:val="18"/>
              </w:rPr>
              <w:t xml:space="preserve">Gespiegelt aus dem offenen Datensatz; nicht von Hand zu ändern</w:t>
            </w:r>
          </w:p>
        </w:tc>
      </w:tr>
      <w:tr>
        <w:trPr>
          <w:tblHeader w:val="false"/>
        </w:trPr>
        <w:tc>
          <w:tcPr>
            <w:tcW w:type="dxa" w:w="2900"/>
            <w:tcMar>
              <w:top w:type="dxa" w:w="60"/>
              <w:left w:type="dxa" w:w="110"/>
              <w:bottom w:type="dxa" w:w="60"/>
              <w:right w:type="dxa" w:w="110"/>
            </w:tcMar>
          </w:tcPr>
          <w:p>
            <w:pPr>
              <w:spacing w:after="0"/>
              <w:jc w:val="left"/>
            </w:pPr>
            <w:r>
              <w:rPr>
                <w:b w:val="false"/>
                <w:bCs w:val="false"/>
                <w:sz w:val="18"/>
                <w:szCs w:val="18"/>
              </w:rPr>
              <w:t xml:space="preserve">reference/vocab/*.csv</w:t>
            </w:r>
          </w:p>
        </w:tc>
        <w:tc>
          <w:tcPr>
            <w:tcW w:type="dxa" w:w="3126"/>
            <w:tcMar>
              <w:top w:type="dxa" w:w="60"/>
              <w:left w:type="dxa" w:w="110"/>
              <w:bottom w:type="dxa" w:w="60"/>
              <w:right w:type="dxa" w:w="110"/>
            </w:tcMar>
          </w:tcPr>
          <w:p>
            <w:pPr>
              <w:spacing w:after="0"/>
              <w:jc w:val="left"/>
            </w:pPr>
            <w:r>
              <w:rPr>
                <w:b w:val="false"/>
                <w:bCs w:val="false"/>
                <w:sz w:val="18"/>
                <w:szCs w:val="18"/>
              </w:rPr>
              <w:t xml:space="preserve">Zulässige Werte für Foiling, Rarity, Edition, Art-Variante</w:t>
            </w:r>
          </w:p>
        </w:tc>
        <w:tc>
          <w:tcPr>
            <w:tcW w:type="dxa" w:w="3000"/>
            <w:tcMar>
              <w:top w:type="dxa" w:w="60"/>
              <w:left w:type="dxa" w:w="110"/>
              <w:bottom w:type="dxa" w:w="60"/>
              <w:right w:type="dxa" w:w="110"/>
            </w:tcMar>
          </w:tcPr>
          <w:p>
            <w:pPr>
              <w:spacing w:after="0"/>
              <w:jc w:val="left"/>
            </w:pPr>
            <w:r>
              <w:rPr>
                <w:b w:val="false"/>
                <w:bCs w:val="false"/>
                <w:sz w:val="18"/>
                <w:szCs w:val="18"/>
              </w:rPr>
              <w:t xml:space="preserve">Aus dem Datensatz; ersetzt die 13 Dropdowns</w:t>
            </w:r>
          </w:p>
        </w:tc>
      </w:tr>
      <w:tr>
        <w:trPr>
          <w:tblHeader w:val="false"/>
        </w:trPr>
        <w:tc>
          <w:tcPr>
            <w:tcW w:type="dxa" w:w="2900"/>
            <w:tcMar>
              <w:top w:type="dxa" w:w="60"/>
              <w:left w:type="dxa" w:w="110"/>
              <w:bottom w:type="dxa" w:w="60"/>
              <w:right w:type="dxa" w:w="110"/>
            </w:tcMar>
          </w:tcPr>
          <w:p>
            <w:pPr>
              <w:spacing w:after="0"/>
              <w:jc w:val="left"/>
            </w:pPr>
            <w:r>
              <w:rPr>
                <w:b w:val="false"/>
                <w:bCs w:val="false"/>
                <w:sz w:val="18"/>
                <w:szCs w:val="18"/>
              </w:rPr>
              <w:t xml:space="preserve">reference/fabrary-export.csv</w:t>
            </w:r>
          </w:p>
        </w:tc>
        <w:tc>
          <w:tcPr>
            <w:tcW w:type="dxa" w:w="3126"/>
            <w:tcMar>
              <w:top w:type="dxa" w:w="60"/>
              <w:left w:type="dxa" w:w="110"/>
              <w:bottom w:type="dxa" w:w="60"/>
              <w:right w:type="dxa" w:w="110"/>
            </w:tcMar>
          </w:tcPr>
          <w:p>
            <w:pPr>
              <w:spacing w:after="0"/>
              <w:jc w:val="left"/>
            </w:pPr>
            <w:r>
              <w:rPr>
                <w:b w:val="false"/>
                <w:bCs w:val="false"/>
                <w:sz w:val="18"/>
                <w:szCs w:val="18"/>
              </w:rPr>
              <w:t xml:space="preserve">Skelett und Vokabular des Zielsystems</w:t>
            </w:r>
          </w:p>
        </w:tc>
        <w:tc>
          <w:tcPr>
            <w:tcW w:type="dxa" w:w="3000"/>
            <w:tcMar>
              <w:top w:type="dxa" w:w="60"/>
              <w:left w:type="dxa" w:w="110"/>
              <w:bottom w:type="dxa" w:w="60"/>
              <w:right w:type="dxa" w:w="110"/>
            </w:tcMar>
          </w:tcPr>
          <w:p>
            <w:pPr>
              <w:spacing w:after="0"/>
              <w:jc w:val="left"/>
            </w:pPr>
            <w:r>
              <w:rPr>
                <w:b w:val="false"/>
                <w:bCs w:val="false"/>
                <w:sz w:val="18"/>
                <w:szCs w:val="18"/>
              </w:rPr>
              <w:t xml:space="preserve">Aus Fabrary exportiert; je Zielsystem eine Datei</w:t>
            </w:r>
          </w:p>
        </w:tc>
      </w:tr>
      <w:tr>
        <w:trPr>
          <w:tblHeader w:val="false"/>
        </w:trPr>
        <w:tc>
          <w:tcPr>
            <w:tcW w:type="dxa" w:w="2900"/>
            <w:tcMar>
              <w:top w:type="dxa" w:w="60"/>
              <w:left w:type="dxa" w:w="110"/>
              <w:bottom w:type="dxa" w:w="60"/>
              <w:right w:type="dxa" w:w="110"/>
            </w:tcMar>
          </w:tcPr>
          <w:p>
            <w:pPr>
              <w:spacing w:after="0"/>
              <w:jc w:val="left"/>
            </w:pPr>
            <w:r>
              <w:rPr>
                <w:b w:val="false"/>
                <w:bCs w:val="false"/>
                <w:sz w:val="18"/>
                <w:szCs w:val="18"/>
              </w:rPr>
              <w:t xml:space="preserve">reference/id-map.csv</w:t>
            </w:r>
          </w:p>
        </w:tc>
        <w:tc>
          <w:tcPr>
            <w:tcW w:type="dxa" w:w="3126"/>
            <w:tcMar>
              <w:top w:type="dxa" w:w="60"/>
              <w:left w:type="dxa" w:w="110"/>
              <w:bottom w:type="dxa" w:w="60"/>
              <w:right w:type="dxa" w:w="110"/>
            </w:tcMar>
          </w:tcPr>
          <w:p>
            <w:pPr>
              <w:spacing w:after="0"/>
              <w:jc w:val="left"/>
            </w:pPr>
            <w:r>
              <w:rPr>
                <w:b w:val="false"/>
                <w:bCs w:val="false"/>
                <w:sz w:val="18"/>
                <w:szCs w:val="18"/>
              </w:rPr>
              <w:t xml:space="preserve">printing_id → Fremdschlüssel (Fabrary-Identifier, Cardmarket-Produkt-ID)</w:t>
            </w:r>
          </w:p>
        </w:tc>
        <w:tc>
          <w:tcPr>
            <w:tcW w:type="dxa" w:w="3000"/>
            <w:tcMar>
              <w:top w:type="dxa" w:w="60"/>
              <w:left w:type="dxa" w:w="110"/>
              <w:bottom w:type="dxa" w:w="60"/>
              <w:right w:type="dxa" w:w="110"/>
            </w:tcMar>
          </w:tcPr>
          <w:p>
            <w:pPr>
              <w:spacing w:after="0"/>
              <w:jc w:val="left"/>
            </w:pPr>
            <w:r>
              <w:rPr>
                <w:b w:val="false"/>
                <w:bCs w:val="false"/>
                <w:sz w:val="18"/>
                <w:szCs w:val="18"/>
              </w:rPr>
              <w:t xml:space="preserve">Automatisch befüllt, manuell ergänzbar</w:t>
            </w:r>
          </w:p>
        </w:tc>
      </w:tr>
      <w:tr>
        <w:trPr>
          <w:tblHeader w:val="false"/>
        </w:trPr>
        <w:tc>
          <w:tcPr>
            <w:tcW w:type="dxa" w:w="2900"/>
            <w:tcMar>
              <w:top w:type="dxa" w:w="60"/>
              <w:left w:type="dxa" w:w="110"/>
              <w:bottom w:type="dxa" w:w="60"/>
              <w:right w:type="dxa" w:w="110"/>
            </w:tcMar>
          </w:tcPr>
          <w:p>
            <w:pPr>
              <w:spacing w:after="0"/>
              <w:jc w:val="left"/>
            </w:pPr>
            <w:r>
              <w:rPr>
                <w:b w:val="false"/>
                <w:bCs w:val="false"/>
                <w:sz w:val="18"/>
                <w:szCs w:val="18"/>
              </w:rPr>
              <w:t xml:space="preserve">exports/</w:t>
            </w:r>
          </w:p>
        </w:tc>
        <w:tc>
          <w:tcPr>
            <w:tcW w:type="dxa" w:w="3126"/>
            <w:tcMar>
              <w:top w:type="dxa" w:w="60"/>
              <w:left w:type="dxa" w:w="110"/>
              <w:bottom w:type="dxa" w:w="60"/>
              <w:right w:type="dxa" w:w="110"/>
            </w:tcMar>
          </w:tcPr>
          <w:p>
            <w:pPr>
              <w:spacing w:after="0"/>
              <w:jc w:val="left"/>
            </w:pPr>
            <w:r>
              <w:rPr>
                <w:b w:val="false"/>
                <w:bCs w:val="false"/>
                <w:sz w:val="18"/>
                <w:szCs w:val="18"/>
              </w:rPr>
              <w:t xml:space="preserve">Erzeugte Importdateien</w:t>
            </w:r>
          </w:p>
        </w:tc>
        <w:tc>
          <w:tcPr>
            <w:tcW w:type="dxa" w:w="3000"/>
            <w:tcMar>
              <w:top w:type="dxa" w:w="60"/>
              <w:left w:type="dxa" w:w="110"/>
              <w:bottom w:type="dxa" w:w="60"/>
              <w:right w:type="dxa" w:w="110"/>
            </w:tcMar>
          </w:tcPr>
          <w:p>
            <w:pPr>
              <w:spacing w:after="0"/>
              <w:jc w:val="left"/>
            </w:pPr>
            <w:r>
              <w:rPr>
                <w:b w:val="false"/>
                <w:bCs w:val="false"/>
                <w:sz w:val="18"/>
                <w:szCs w:val="18"/>
              </w:rPr>
              <w:t xml:space="preserve">Ausgabe; von der Versionierung ausgenommen</w:t>
            </w:r>
          </w:p>
        </w:tc>
      </w:tr>
    </w:tbl>
    <w:p>
      <w:pPr>
        <w:spacing w:after="140"/>
      </w:pPr>
      <w:r>
        <w:t xml:space="preserve">Der praktische Gewinn dieser Struktur zeigt sich im Alltag: Eine Bestandsänderung ist ein Commit mit einer geänderten Zeile in collection.csv. Was sich wann geändert hat, beantwortet die Versionsgeschichte statt einer Sicherungskopie. Die Empfehlung aus der readme, oft Kopien anzulegen, wird dadurch überflüssig.</w:t>
      </w:r>
    </w:p>
    <w:p>
      <w:pPr>
        <w:spacing w:after="140"/>
      </w:pPr>
      <w:r>
        <w:t xml:space="preserve">Die heutigen Felder „Have“, „Need“ und „Left“ in ihren sechs Varianten werden nicht gespeichert, sondern bei Bedarf berechnet — als Abfrage in der Anwendung, nicht als 39.432 Formeln in einer Datei.</w:t>
      </w:r>
    </w:p>
    <w:p>
      <w:pPr>
        <w:spacing w:after="140"/>
      </w:pPr>
      <w:r>
        <w:t xml:space="preserve">Durchgängiger Verbundschlüssel über alle Zielsysteme ist die Kartennummer (printing_id, z. B. WTR001), ergänzt um Foiling und Art-Variante. Der Abgleich gegen die Fabrary-Referenz in Kapitel 4.2 belegt, warum: Die Kartennummer trifft zu 100 Prozent, Namen und Identifier tun das nicht.</w:t>
      </w:r>
    </w:p>
    <w:p>
      <w:pPr>
        <w:pStyle w:val="Heading1"/>
        <w:spacing w:after="160" w:before="320"/>
      </w:pPr>
      <w:r>
        <w:t xml:space="preserve">6. Lösungsalternativen</w:t>
      </w:r>
    </w:p>
    <w:p>
      <w:pPr>
        <w:spacing w:after="140"/>
      </w:pPr>
      <w:r>
        <w:t xml:space="preserve">Die Technologiewahl ist offen — keine Beschränkung auf eine Plattform oder einen Hersteller. Leitendes Kriterium ist Zugänglichkeit: Was muss auf einem fremden Rechner vorhanden sein, damit die Anwendung startet? Alle drei Alternativen verwenden dieselben Daten (CSV im Repository) und dieselbe Fachlogik (Export-Adapter, Validierung, Berechnungen); sie unterscheiden sich darin, was zum Ausführen nötig ist.</w:t>
      </w:r>
    </w:p>
    <w:p>
      <w:pPr>
        <w:pStyle w:val="Heading2"/>
        <w:spacing w:after="120" w:before="240"/>
      </w:pPr>
      <w:r>
        <w:t xml:space="preserve">Alternative A — Statische Web-Anwendung ohne Build-Schritt</w:t>
      </w:r>
    </w:p>
    <w:p>
      <w:pPr>
        <w:spacing w:after="140"/>
      </w:pPr>
      <w:r>
        <w:t xml:space="preserve">Eine einzelne, in sich geschlossene HTML-Datei mit eingebettetem JavaScript und CSS, ohne externe Abrufe und ohne Paketmanager. Auschecken, index.html im Browser öffnen, fertig. Es gibt keine Laufzeitumgebung zu installieren, kein npm install, keinen Bundler und keine Konfiguration. Alternativ lässt sich dieselbe Datei über GitHub Pages veröffentlichen — dann entfällt sogar das Auschecken und es bleibt eine URL.</w:t>
      </w:r>
    </w:p>
    <w:p>
      <w:pPr>
        <w:spacing w:after="140"/>
      </w:pPr>
      <w:r>
        <w:t xml:space="preserve">Zwei technische Randbedingungen sind dabei zu beachten und bestimmen die Bauweise. Erstens erlaubt der Browser beim Öffnen über file:// weder ES-Module noch das Nachladen lokaler Dateien; deshalb muss alles in einer Datei liegen und die Daten werden über eine Datei- oder Ordnerauswahl geladen statt per Abruf. Zweitens ist der direkte Schreibzugriff auf den ausgecheckten Ordner nur in Chromium-Browsern verfügbar (Chrome, Edge, Opera ab Version 86); Firefox und Safari bieten ausschließlich einen privaten Speicherbereich ohne Zugriff auf lokale Ordner. Dort funktioniert die Anwendung weiterhin, das Speichern läuft aber über einen Download, der die Datei im Repository ersetzt.</w:t>
      </w:r>
    </w:p>
    <w:p>
      <w:pPr>
        <w:pStyle w:val="Heading2"/>
        <w:spacing w:after="120" w:before="240"/>
      </w:pPr>
      <w:r>
        <w:t xml:space="preserve">Alternative B — Eigenständiges Programm mit lokaler Weboberfläche</w:t>
      </w:r>
    </w:p>
    <w:p>
      <w:pPr>
        <w:spacing w:after="140"/>
      </w:pPr>
      <w:r>
        <w:t xml:space="preserve">Ein einzelnes, statisch gelinktes Programm — beispielsweise in Go geschrieben —, das die Daten liest und die Oberfläche unter localhost ausliefert. Es benötigt keine installierte Laufzeitumgebung: starten, Browser öffnet sich, fertig. Damit entfallen beide Einschränkungen aus Alternative A — der Dateizugriff ist vollständig und funktioniert in jedem Browser.</w:t>
      </w:r>
    </w:p>
    <w:p>
      <w:pPr>
        <w:spacing w:after="140"/>
      </w:pPr>
      <w:r>
        <w:t xml:space="preserve">Der Preis ist die Verteilung: Für jede Plattform und Architektur wird ein eigenes Binary benötigt, das entweder im Repository liegt oder über Releases bezogen wird. Außerdem muss man einem ausführbaren Programm vertrauen, während eine HTML-Datei in der Browser-Sandbox läuft. Für „einfach auschecken“ ist das ein spürbarer, wenn auch kleiner Unterschied.</w:t>
      </w:r>
    </w:p>
    <w:p>
      <w:pPr>
        <w:pStyle w:val="Heading2"/>
        <w:spacing w:after="120" w:before="240"/>
      </w:pPr>
      <w:r>
        <w:t xml:space="preserve">Alternative C — .NET als eigenständige Einzeldatei</w:t>
      </w:r>
    </w:p>
    <w:p>
      <w:pPr>
        <w:spacing w:after="140"/>
      </w:pPr>
      <w:r>
        <w:t xml:space="preserve">Die vorhandene Anwendung wird weiterentwickelt und als self-contained Einzeldatei veröffentlicht; .NET muss auf dem Zielrechner nicht installiert sein. Der große Vorteil liegt in der Kontinuität: Die wertvollste Substanz des heutigen Projekts ist nicht der Code, sondern das darin kodierte Wissen über die Eigenheiten der Zielsysteme. Diese Regeln bleiben erhalten, statt neu erarbeitet zu werden.</w:t>
      </w:r>
    </w:p>
    <w:p>
      <w:pPr>
        <w:spacing w:after="140"/>
      </w:pPr>
      <w:r>
        <w:t xml:space="preserve">Dagegen stehen ein Binary von typischerweise 60 bis 80 MB je Plattform, eine nach wie vor Windows-nahe Ausrichtung und der Umstand, dass für eine grafische Oberfläche zusätzlich ein UI-Rahmenwerk hinzukommt. Zugänglich ist das Ergebnis, aber weniger unmittelbar als eine HTML-Datei.</w:t>
      </w:r>
    </w:p>
    <w:p>
      <w:pPr>
        <w:pStyle w:val="Heading2"/>
        <w:spacing w:after="120" w:before="240"/>
      </w:pPr>
      <w:r>
        <w:t xml:space="preserve">Bewertungsmatrix</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3626"/>
        <w:gridCol w:w="1800"/>
        <w:gridCol w:w="1800"/>
        <w:gridCol w:w="1800"/>
      </w:tblGrid>
      <w:tr>
        <w:trPr>
          <w:tblHeader/>
        </w:trPr>
        <w:tc>
          <w:tcPr>
            <w:tcW w:type="dxa" w:w="3626"/>
            <w:shd w:fill="E7E6E6" w:val="clear"/>
            <w:tcMar>
              <w:top w:type="dxa" w:w="60"/>
              <w:left w:type="dxa" w:w="110"/>
              <w:bottom w:type="dxa" w:w="60"/>
              <w:right w:type="dxa" w:w="110"/>
            </w:tcMar>
          </w:tcPr>
          <w:p>
            <w:pPr>
              <w:spacing w:after="0"/>
              <w:jc w:val="left"/>
            </w:pPr>
            <w:r>
              <w:rPr>
                <w:b/>
                <w:bCs/>
                <w:sz w:val="20"/>
                <w:szCs w:val="20"/>
              </w:rPr>
              <w:t xml:space="preserve">Kriterium</w:t>
            </w:r>
          </w:p>
        </w:tc>
        <w:tc>
          <w:tcPr>
            <w:tcW w:type="dxa" w:w="1800"/>
            <w:shd w:fill="E7E6E6" w:val="clear"/>
            <w:tcMar>
              <w:top w:type="dxa" w:w="60"/>
              <w:left w:type="dxa" w:w="110"/>
              <w:bottom w:type="dxa" w:w="60"/>
              <w:right w:type="dxa" w:w="110"/>
            </w:tcMar>
          </w:tcPr>
          <w:p>
            <w:pPr>
              <w:spacing w:after="0"/>
              <w:jc w:val="center"/>
            </w:pPr>
            <w:r>
              <w:rPr>
                <w:b/>
                <w:bCs/>
                <w:sz w:val="20"/>
                <w:szCs w:val="20"/>
              </w:rPr>
              <w:t xml:space="preserve">A — Web (statisch)</w:t>
            </w:r>
          </w:p>
        </w:tc>
        <w:tc>
          <w:tcPr>
            <w:tcW w:type="dxa" w:w="1800"/>
            <w:shd w:fill="E7E6E6" w:val="clear"/>
            <w:tcMar>
              <w:top w:type="dxa" w:w="60"/>
              <w:left w:type="dxa" w:w="110"/>
              <w:bottom w:type="dxa" w:w="60"/>
              <w:right w:type="dxa" w:w="110"/>
            </w:tcMar>
          </w:tcPr>
          <w:p>
            <w:pPr>
              <w:spacing w:after="0"/>
              <w:jc w:val="center"/>
            </w:pPr>
            <w:r>
              <w:rPr>
                <w:b/>
                <w:bCs/>
                <w:sz w:val="20"/>
                <w:szCs w:val="20"/>
              </w:rPr>
              <w:t xml:space="preserve">B — Go-Binary</w:t>
            </w:r>
          </w:p>
        </w:tc>
        <w:tc>
          <w:tcPr>
            <w:tcW w:type="dxa" w:w="1800"/>
            <w:shd w:fill="E7E6E6" w:val="clear"/>
            <w:tcMar>
              <w:top w:type="dxa" w:w="60"/>
              <w:left w:type="dxa" w:w="110"/>
              <w:bottom w:type="dxa" w:w="60"/>
              <w:right w:type="dxa" w:w="110"/>
            </w:tcMar>
          </w:tcPr>
          <w:p>
            <w:pPr>
              <w:spacing w:after="0"/>
              <w:jc w:val="center"/>
            </w:pPr>
            <w:r>
              <w:rPr>
                <w:b/>
                <w:bCs/>
                <w:sz w:val="20"/>
                <w:szCs w:val="20"/>
              </w:rPr>
              <w:t xml:space="preserve">C — .NET Einzeldatei</w:t>
            </w:r>
          </w:p>
        </w:tc>
      </w:tr>
      <w:tr>
        <w:trPr>
          <w:tblHeader w:val="false"/>
        </w:trPr>
        <w:tc>
          <w:tcPr>
            <w:tcW w:type="dxa" w:w="3626"/>
            <w:tcMar>
              <w:top w:type="dxa" w:w="60"/>
              <w:left w:type="dxa" w:w="110"/>
              <w:bottom w:type="dxa" w:w="60"/>
              <w:right w:type="dxa" w:w="110"/>
            </w:tcMar>
          </w:tcPr>
          <w:p>
            <w:pPr>
              <w:spacing w:after="0"/>
              <w:jc w:val="left"/>
            </w:pPr>
            <w:r>
              <w:rPr>
                <w:b w:val="false"/>
                <w:bCs w:val="false"/>
                <w:sz w:val="20"/>
                <w:szCs w:val="20"/>
              </w:rPr>
              <w:t xml:space="preserve">Zugänglichkeit / kein Setup</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c>
          <w:tcPr>
            <w:tcW w:type="dxa" w:w="1800"/>
            <w:tcMar>
              <w:top w:type="dxa" w:w="60"/>
              <w:left w:type="dxa" w:w="110"/>
              <w:bottom w:type="dxa" w:w="60"/>
              <w:right w:type="dxa" w:w="110"/>
            </w:tcMar>
          </w:tcPr>
          <w:p>
            <w:pPr>
              <w:spacing w:after="0"/>
              <w:jc w:val="center"/>
            </w:pPr>
            <w:r>
              <w:rPr>
                <w:b w:val="false"/>
                <w:bCs w:val="false"/>
                <w:sz w:val="20"/>
                <w:szCs w:val="20"/>
              </w:rPr>
              <w:t xml:space="preserve">o</w:t>
            </w:r>
          </w:p>
        </w:tc>
      </w:tr>
      <w:tr>
        <w:trPr>
          <w:tblHeader w:val="false"/>
        </w:trPr>
        <w:tc>
          <w:tcPr>
            <w:tcW w:type="dxa" w:w="3626"/>
            <w:tcMar>
              <w:top w:type="dxa" w:w="60"/>
              <w:left w:type="dxa" w:w="110"/>
              <w:bottom w:type="dxa" w:w="60"/>
              <w:right w:type="dxa" w:w="110"/>
            </w:tcMar>
          </w:tcPr>
          <w:p>
            <w:pPr>
              <w:spacing w:after="0"/>
              <w:jc w:val="left"/>
            </w:pPr>
            <w:r>
              <w:rPr>
                <w:b w:val="false"/>
                <w:bCs w:val="false"/>
                <w:sz w:val="20"/>
                <w:szCs w:val="20"/>
              </w:rPr>
              <w:t xml:space="preserve">Plattformreichweite</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r>
      <w:tr>
        <w:trPr>
          <w:tblHeader w:val="false"/>
        </w:trPr>
        <w:tc>
          <w:tcPr>
            <w:tcW w:type="dxa" w:w="3626"/>
            <w:tcMar>
              <w:top w:type="dxa" w:w="60"/>
              <w:left w:type="dxa" w:w="110"/>
              <w:bottom w:type="dxa" w:w="60"/>
              <w:right w:type="dxa" w:w="110"/>
            </w:tcMar>
          </w:tcPr>
          <w:p>
            <w:pPr>
              <w:spacing w:after="0"/>
              <w:jc w:val="left"/>
            </w:pPr>
            <w:r>
              <w:rPr>
                <w:b w:val="false"/>
                <w:bCs w:val="false"/>
                <w:sz w:val="20"/>
                <w:szCs w:val="20"/>
              </w:rPr>
              <w:t xml:space="preserve">Dateizugriff in jedem Browser</w:t>
            </w:r>
          </w:p>
        </w:tc>
        <w:tc>
          <w:tcPr>
            <w:tcW w:type="dxa" w:w="1800"/>
            <w:tcMar>
              <w:top w:type="dxa" w:w="60"/>
              <w:left w:type="dxa" w:w="110"/>
              <w:bottom w:type="dxa" w:w="60"/>
              <w:right w:type="dxa" w:w="110"/>
            </w:tcMar>
          </w:tcPr>
          <w:p>
            <w:pPr>
              <w:spacing w:after="0"/>
              <w:jc w:val="center"/>
            </w:pPr>
            <w:r>
              <w:rPr>
                <w:b w:val="false"/>
                <w:bCs w:val="false"/>
                <w:sz w:val="20"/>
                <w:szCs w:val="20"/>
              </w:rPr>
              <w:t xml:space="preserve">o</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r>
      <w:tr>
        <w:trPr>
          <w:tblHeader w:val="false"/>
        </w:trPr>
        <w:tc>
          <w:tcPr>
            <w:tcW w:type="dxa" w:w="3626"/>
            <w:tcMar>
              <w:top w:type="dxa" w:w="60"/>
              <w:left w:type="dxa" w:w="110"/>
              <w:bottom w:type="dxa" w:w="60"/>
              <w:right w:type="dxa" w:w="110"/>
            </w:tcMar>
          </w:tcPr>
          <w:p>
            <w:pPr>
              <w:spacing w:after="0"/>
              <w:jc w:val="left"/>
            </w:pPr>
            <w:r>
              <w:rPr>
                <w:b w:val="false"/>
                <w:bCs w:val="false"/>
                <w:sz w:val="20"/>
                <w:szCs w:val="20"/>
              </w:rPr>
              <w:t xml:space="preserve">Abhängigkeitsarmut</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c>
          <w:tcPr>
            <w:tcW w:type="dxa" w:w="1800"/>
            <w:tcMar>
              <w:top w:type="dxa" w:w="60"/>
              <w:left w:type="dxa" w:w="110"/>
              <w:bottom w:type="dxa" w:w="60"/>
              <w:right w:type="dxa" w:w="110"/>
            </w:tcMar>
          </w:tcPr>
          <w:p>
            <w:pPr>
              <w:spacing w:after="0"/>
              <w:jc w:val="center"/>
            </w:pPr>
            <w:r>
              <w:rPr>
                <w:b w:val="false"/>
                <w:bCs w:val="false"/>
                <w:sz w:val="20"/>
                <w:szCs w:val="20"/>
              </w:rPr>
              <w:t xml:space="preserve">o</w:t>
            </w:r>
          </w:p>
        </w:tc>
      </w:tr>
      <w:tr>
        <w:trPr>
          <w:tblHeader w:val="false"/>
        </w:trPr>
        <w:tc>
          <w:tcPr>
            <w:tcW w:type="dxa" w:w="3626"/>
            <w:tcMar>
              <w:top w:type="dxa" w:w="60"/>
              <w:left w:type="dxa" w:w="110"/>
              <w:bottom w:type="dxa" w:w="60"/>
              <w:right w:type="dxa" w:w="110"/>
            </w:tcMar>
          </w:tcPr>
          <w:p>
            <w:pPr>
              <w:spacing w:after="0"/>
              <w:jc w:val="left"/>
            </w:pPr>
            <w:r>
              <w:rPr>
                <w:b w:val="false"/>
                <w:bCs w:val="false"/>
                <w:sz w:val="20"/>
                <w:szCs w:val="20"/>
              </w:rPr>
              <w:t xml:space="preserve">Wiederverwendung der Bestandslogik</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r>
      <w:tr>
        <w:trPr>
          <w:tblHeader w:val="false"/>
        </w:trPr>
        <w:tc>
          <w:tcPr>
            <w:tcW w:type="dxa" w:w="3626"/>
            <w:tcMar>
              <w:top w:type="dxa" w:w="60"/>
              <w:left w:type="dxa" w:w="110"/>
              <w:bottom w:type="dxa" w:w="60"/>
              <w:right w:type="dxa" w:w="110"/>
            </w:tcMar>
          </w:tcPr>
          <w:p>
            <w:pPr>
              <w:spacing w:after="0"/>
              <w:jc w:val="left"/>
            </w:pPr>
            <w:r>
              <w:rPr>
                <w:b w:val="false"/>
                <w:bCs w:val="false"/>
                <w:sz w:val="20"/>
                <w:szCs w:val="20"/>
              </w:rPr>
              <w:t xml:space="preserve">Aufwand Erstumsetzung</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c>
          <w:tcPr>
            <w:tcW w:type="dxa" w:w="1800"/>
            <w:tcMar>
              <w:top w:type="dxa" w:w="60"/>
              <w:left w:type="dxa" w:w="110"/>
              <w:bottom w:type="dxa" w:w="60"/>
              <w:right w:type="dxa" w:w="110"/>
            </w:tcMar>
          </w:tcPr>
          <w:p>
            <w:pPr>
              <w:spacing w:after="0"/>
              <w:jc w:val="center"/>
            </w:pPr>
            <w:r>
              <w:rPr>
                <w:b w:val="false"/>
                <w:bCs w:val="false"/>
                <w:sz w:val="20"/>
                <w:szCs w:val="20"/>
              </w:rPr>
              <w:t xml:space="preserve">o</w:t>
            </w:r>
          </w:p>
        </w:tc>
        <w:tc>
          <w:tcPr>
            <w:tcW w:type="dxa" w:w="1800"/>
            <w:tcMar>
              <w:top w:type="dxa" w:w="60"/>
              <w:left w:type="dxa" w:w="110"/>
              <w:bottom w:type="dxa" w:w="60"/>
              <w:right w:type="dxa" w:w="110"/>
            </w:tcMar>
          </w:tcPr>
          <w:p>
            <w:pPr>
              <w:spacing w:after="0"/>
              <w:jc w:val="center"/>
            </w:pPr>
            <w:r>
              <w:rPr>
                <w:b w:val="false"/>
                <w:bCs w:val="false"/>
                <w:sz w:val="20"/>
                <w:szCs w:val="20"/>
              </w:rPr>
              <w:t xml:space="preserve">+</w:t>
            </w:r>
          </w:p>
        </w:tc>
      </w:tr>
    </w:tbl>
    <w:p>
      <w:pPr>
        <w:spacing w:after="200" w:before="60"/>
      </w:pPr>
      <w:r>
        <w:rPr>
          <w:i/>
          <w:iCs/>
          <w:color w:val="595959"/>
          <w:sz w:val="18"/>
          <w:szCs w:val="18"/>
        </w:rPr>
        <w:t xml:space="preserve">Skala: ++ sehr gut, + gut, o befriedigend, − schwach.</w:t>
      </w:r>
    </w:p>
    <w:p>
      <w:pPr>
        <w:spacing w:after="140"/>
      </w:pPr>
      <w:r>
        <w:rPr>
          <w:b/>
          <w:bCs/>
        </w:rPr>
        <w:t xml:space="preserve">Empfehlung: Alternative A. </w:t>
      </w:r>
      <w:r>
        <w:t xml:space="preserve">Sie erfüllt die Zugänglichkeitsanforderung am unmittelbarsten — nichts zu installieren, nichts einzurichten, keine Abhängigkeit, die in zwei Jahren nicht mehr auflösbar ist. Der Preis ist ehrlich zu benennen: Die vorhandene Domänenlogik wird nicht übernommen, sondern neu geschrieben. Das ist vertretbar, weil sie überschaubar ist und weil das Skelett-Verfahren aus Kapitel 7 einen erheblichen Teil der heutigen Sonderlogik ohnehin überflüssig macht. Der bestehende Code bleibt dabei als Referenz und Vergleichsmaßstab nutzbar (Kapitel 9).</w:t>
      </w:r>
    </w:p>
    <w:p>
      <w:pPr>
        <w:spacing w:after="140"/>
      </w:pPr>
      <w:r>
        <w:t xml:space="preserve">Alternative B ist die vorgesehene Rückfallebene: Sollte sich der Schreibzugriff über den Browser als zu umständlich erweisen — etwa weil überwiegend Firefox genutzt wird —, lässt sich dieselbe Oberfläche unverändert von einem lokalen Programm ausliefern. Die Fachlogik bliebe dabei erhalten, weil sie in beiden Fällen im Browser läuft.</w:t>
      </w:r>
    </w:p>
    <w:p>
      <w:pPr>
        <w:pStyle w:val="Heading2"/>
        <w:spacing w:after="120" w:before="240"/>
      </w:pPr>
      <w:r>
        <w:t xml:space="preserve">Geprüft und verworfen</w:t>
      </w:r>
    </w:p>
    <w:p>
      <w:pPr>
        <w:pStyle w:val="ListParagraph"/>
        <w:numPr>
          <w:ilvl w:val="0"/>
          <w:numId w:val="2"/>
        </w:numPr>
        <w:spacing w:after="80"/>
      </w:pPr>
      <w:r>
        <w:rPr>
          <w:b/>
          <w:bCs/>
        </w:rPr>
        <w:t xml:space="preserve">Electron oder Tauri: </w:t>
      </w:r>
      <w:r>
        <w:t xml:space="preserve">liefern eine Desktop-Anwendung, erfordern aber eine Build-Toolchain und erzeugen einen Installationsschritt — genau das, was vermieden werden soll.</w:t>
      </w:r>
    </w:p>
    <w:p>
      <w:pPr>
        <w:pStyle w:val="ListParagraph"/>
        <w:numPr>
          <w:ilvl w:val="0"/>
          <w:numId w:val="2"/>
        </w:numPr>
        <w:spacing w:after="80"/>
      </w:pPr>
      <w:r>
        <w:rPr>
          <w:b/>
          <w:bCs/>
        </w:rPr>
        <w:t xml:space="preserve">Single-Page-Anwendung mit npm-Build (React, Vue, Svelte): </w:t>
      </w:r>
      <w:r>
        <w:t xml:space="preserve">komfortabel in der Entwicklung, aber zwischen Auschecken und Benutzen steht ein Build. Ohne gepflegte Abhängigkeiten ist ein solches Projekt nach wenigen Jahren nicht mehr ohne Weiteres baubar.</w:t>
      </w:r>
    </w:p>
    <w:p>
      <w:pPr>
        <w:pStyle w:val="ListParagraph"/>
        <w:numPr>
          <w:ilvl w:val="0"/>
          <w:numId w:val="2"/>
        </w:numPr>
        <w:spacing w:after="80"/>
      </w:pPr>
      <w:r>
        <w:rPr>
          <w:b/>
          <w:bCs/>
        </w:rPr>
        <w:t xml:space="preserve">Python- oder Node-Skripte: </w:t>
      </w:r>
      <w:r>
        <w:t xml:space="preserve">setzen eine installierte Laufzeitumgebung in passender Version voraus und scheitern damit am Hauptkriterium.</w:t>
      </w:r>
    </w:p>
    <w:p>
      <w:pPr>
        <w:pStyle w:val="Heading1"/>
        <w:spacing w:after="160" w:before="320"/>
      </w:pPr>
      <w:r>
        <w:t xml:space="preserve">7. Qualitätssicherung für Export und Import</w:t>
      </w:r>
    </w:p>
    <w:p>
      <w:pPr>
        <w:spacing w:after="140"/>
      </w:pPr>
      <w:r>
        <w:t xml:space="preserve">Keines der vier Zielformate ist als Spezifikation dokumentiert. Die heutigen Sonderregeln — Sprachvarianten zusammenführen, Editionen trennen, „Micro Text Box“ als „Extended Art“ behandeln, Ausnahmen für ROS002 und ROS008 — sind durch Ausprobieren entstanden. Für Fabrary liegt jedoch etwas Besseres als eine Spezifikation vor: eine maßgebliche Beispieldatei, die zugleich Importvorlage ist. Qualität entsteht hier deshalb nicht dadurch, dass man sorgfältiger programmiert, sondern dadurch, dass man sich an der Referenz ausrichtet und das Ergebnis nachweist.</w:t>
      </w:r>
    </w:p>
    <w:p>
      <w:pPr>
        <w:pStyle w:val="ListParagraph"/>
        <w:numPr>
          <w:ilvl w:val="0"/>
          <w:numId w:val="2"/>
        </w:numPr>
        <w:spacing w:after="80"/>
      </w:pPr>
      <w:r>
        <w:rPr>
          <w:b/>
          <w:bCs/>
        </w:rPr>
        <w:t xml:space="preserve">Referenzdatei als Skelett verwenden. </w:t>
      </w:r>
      <w:r>
        <w:t xml:space="preserve">Der wichtigste Einzelvorschlag: Die Anwendung liest die Fabrary-Referenz ein, übernimmt Identifier, Set, Set number, Edition, Foiling und Treatment zeichengenau und füllt ausschließlich die Mengenspalten. Was nicht zugeordnet werden kann, bleibt als Zeile erhalten und wird im Protokoll gemeldet. Damit können die Fehlerklassen „falscher Set-Name“ und „unbekannter Identifier“ im Fabrary-Export nicht mehr auftreten — die Werte stammen aus Fabrary selbst.</w:t>
      </w:r>
    </w:p>
    <w:p>
      <w:pPr>
        <w:pStyle w:val="ListParagraph"/>
        <w:numPr>
          <w:ilvl w:val="0"/>
          <w:numId w:val="2"/>
        </w:numPr>
        <w:spacing w:after="80"/>
      </w:pPr>
      <w:r>
        <w:rPr>
          <w:b/>
          <w:bCs/>
        </w:rPr>
        <w:t xml:space="preserve">Vokabular aus der Referenz erzwingen. </w:t>
      </w:r>
      <w:r>
        <w:t xml:space="preserve">Foiling, Treatment, Edition und Pitch werden gegen die in Kapitel 4.2 ermittelten Wertelisten geprüft. Ein Wert außerhalb der Liste ist ein Fehler und wird vor dem Schreiben gemeldet, nicht stillschweigend exportiert. Ebenso wird die Unterscheidung zwischen leerer Zelle und „0“ bewusst gesetzt.</w:t>
      </w:r>
    </w:p>
    <w:p>
      <w:pPr>
        <w:pStyle w:val="ListParagraph"/>
        <w:numPr>
          <w:ilvl w:val="0"/>
          <w:numId w:val="2"/>
        </w:numPr>
        <w:spacing w:after="80"/>
      </w:pPr>
      <w:r>
        <w:rPr>
          <w:b/>
          <w:bCs/>
        </w:rPr>
        <w:t xml:space="preserve">Round-Trip-Verifikation als eingebauter Arbeitsschritt. </w:t>
      </w:r>
      <w:r>
        <w:t xml:space="preserve">Exportieren, im Zielsystem importieren, die Sammlung von dort wieder herunterladen und gegen den eigenen Bestand diffen. Bei Fabrary ist das kein Behelf, sondern der vom System selbst angebotene Weg: Export- und Importformat sind identisch, der Abgleich ist also verlustfrei möglich — abgesehen von den 87 nicht eindeutig adressierbaren Zeilen aus Kapitel 4.2, die gesondert ausgewiesen werden.</w:t>
      </w:r>
    </w:p>
    <w:p>
      <w:pPr>
        <w:pStyle w:val="ListParagraph"/>
        <w:numPr>
          <w:ilvl w:val="0"/>
          <w:numId w:val="2"/>
        </w:numPr>
        <w:spacing w:after="80"/>
      </w:pPr>
      <w:r>
        <w:rPr>
          <w:b/>
          <w:bCs/>
        </w:rPr>
        <w:t xml:space="preserve">Adapter-Schnittstelle je Zielsystem. </w:t>
      </w:r>
      <w:r>
        <w:t xml:space="preserve">Ein Interface (etwa ICollectionExporter) mit deklarierten Fähigkeiten: Kennt das Zielsystem Editionen? Kennt es Art Treatments? Führt es Sprachvarianten zusammen? Damit werden die heute über den Code verstreuten Sonderregeln explizit, vergleichbar und einzeln testbar.</w:t>
      </w:r>
    </w:p>
    <w:p>
      <w:pPr>
        <w:pStyle w:val="ListParagraph"/>
        <w:numPr>
          <w:ilvl w:val="0"/>
          <w:numId w:val="2"/>
        </w:numPr>
        <w:spacing w:after="80"/>
      </w:pPr>
      <w:r>
        <w:rPr>
          <w:b/>
          <w:bCs/>
        </w:rPr>
        <w:t xml:space="preserve">Validierung vor dem Export, mit Vorschau. </w:t>
      </w:r>
      <w:r>
        <w:t xml:space="preserve">Jede Zeile wird gegen die Stammdaten geprüft, bevor geschrieben wird. Der Nutzer sieht, was exportiert wird und was nicht — statt der heutigen stillen continue-Zweige in TcgList.cs.</w:t>
      </w:r>
    </w:p>
    <w:p>
      <w:pPr>
        <w:pStyle w:val="ListParagraph"/>
        <w:numPr>
          <w:ilvl w:val="0"/>
          <w:numId w:val="2"/>
        </w:numPr>
        <w:spacing w:after="80"/>
      </w:pPr>
      <w:r>
        <w:rPr>
          <w:b/>
          <w:bCs/>
        </w:rPr>
        <w:t xml:space="preserve">Exportprotokoll. </w:t>
      </w:r>
      <w:r>
        <w:t xml:space="preserve">Gelesen, geschrieben, übersprungen je Grund, dazu der absolute Ausgabepfad. Das behebt Audit-Befund D5 und macht Fehler der Klassen 1 und 2 aus Kapitel 2 überhaupt erst sichtbar.</w:t>
      </w:r>
    </w:p>
    <w:p>
      <w:pPr>
        <w:pStyle w:val="ListParagraph"/>
        <w:numPr>
          <w:ilvl w:val="0"/>
          <w:numId w:val="2"/>
        </w:numPr>
        <w:spacing w:after="80"/>
      </w:pPr>
      <w:r>
        <w:rPr>
          <w:b/>
          <w:bCs/>
        </w:rPr>
        <w:t xml:space="preserve">Golden-File-Tests je Adapter. </w:t>
      </w:r>
      <w:r>
        <w:t xml:space="preserve">Die vorhandene docs/example.ods dient als Referenz-Eingabe, die Fabrary-Referenzdatei als Sollbild für Struktur und Vokabular. Jede unbeabsichtigte Formatänderung fällt sofort auf. Die in Kapitel 4.2 gezeigten Abgleichquoten (Set number 100 %, Identifier 99,3 %, Set-Name 75 %) eignen sich unmittelbar als Schwellenwerte: Ein Lauf, der darunter fällt, gilt als fehlgeschlagen.</w:t>
      </w:r>
    </w:p>
    <w:p>
      <w:pPr>
        <w:pStyle w:val="ListParagraph"/>
        <w:numPr>
          <w:ilvl w:val="0"/>
          <w:numId w:val="2"/>
        </w:numPr>
        <w:spacing w:after="80"/>
      </w:pPr>
      <w:r>
        <w:rPr>
          <w:b/>
          <w:bCs/>
        </w:rPr>
        <w:t xml:space="preserve">Regressionsschutz für Stammdaten. </w:t>
      </w:r>
      <w:r>
        <w:t xml:space="preserve">Beim Aktualisieren des offenen Datensatzes zeigt die Anwendung einen Änderungsbericht — neue Sets, umbenannte Karten, entfallene Drucke — statt die Änderungen stillschweigend zu übernehmen. So wird eine Wiederholung von C14 unmöglich, statt nur unwahrscheinlich.</w:t>
      </w:r>
    </w:p>
    <w:p>
      <w:pPr>
        <w:pStyle w:val="Heading1"/>
        <w:spacing w:after="160" w:before="320"/>
      </w:pPr>
      <w:r>
        <w:t xml:space="preserve">8. UI-Konzept</w:t>
      </w:r>
    </w:p>
    <w:p>
      <w:pPr>
        <w:spacing w:after="140"/>
      </w:pPr>
      <w:r>
        <w:t xml:space="preserve">Die Oberfläche muss den Komfort ersetzen, den heute die Tabellenkalkulation liefert. Maßgeblich sind Erfassungsgeschwindigkeit und Auffindbarkeit, nicht optische Gestaltung.</w:t>
      </w:r>
    </w:p>
    <w:p>
      <w:pPr>
        <w:pStyle w:val="ListParagraph"/>
        <w:numPr>
          <w:ilvl w:val="0"/>
          <w:numId w:val="2"/>
        </w:numPr>
        <w:spacing w:after="80"/>
      </w:pPr>
      <w:r>
        <w:rPr>
          <w:b/>
          <w:bCs/>
        </w:rPr>
        <w:t xml:space="preserve">Schnellerfassung per Tastatur. </w:t>
      </w:r>
      <w:r>
        <w:t xml:space="preserve">Eine Eingabezeile im Hauptfenster nimmt Kurzbefehle entgegen, etwa „wtr001 rf 3“ für drei Rainbow-Foil-Exemplare von WTR001. Autocomplete auf Set-Code, Kartennummer und Name; Bestätigung mit Enter, ohne Maus. Das ist der direkte Ersatz für die heutige Zeileneingabe in Calc.</w:t>
      </w:r>
    </w:p>
    <w:p>
      <w:pPr>
        <w:pStyle w:val="ListParagraph"/>
        <w:numPr>
          <w:ilvl w:val="0"/>
          <w:numId w:val="2"/>
        </w:numPr>
        <w:spacing w:after="80"/>
      </w:pPr>
      <w:r>
        <w:rPr>
          <w:b/>
          <w:bCs/>
        </w:rPr>
        <w:t xml:space="preserve">Sammlungsraster mit Live-Filter. </w:t>
      </w:r>
      <w:r>
        <w:t xml:space="preserve">Sortier- und filterbares Raster über den gesamten Bestand, mit Spaltenauswahl und Freitextsuche; berechnete Spalten (Have, Need, Left) werden angezeigt, aber nicht gespeichert.</w:t>
      </w:r>
    </w:p>
    <w:p>
      <w:pPr>
        <w:pStyle w:val="ListParagraph"/>
        <w:numPr>
          <w:ilvl w:val="0"/>
          <w:numId w:val="2"/>
        </w:numPr>
        <w:spacing w:after="80"/>
      </w:pPr>
      <w:r>
        <w:rPr>
          <w:b/>
          <w:bCs/>
        </w:rPr>
        <w:t xml:space="preserve">Export-Assistent mit Vorschau. </w:t>
      </w:r>
      <w:r>
        <w:t xml:space="preserve">Zielsystem wählen, Filter setzen, Vorschau der zu schreibenden Zeilen inklusive der Ausschlussliste, dann erst schreiben. Der Ausgabepfad ist sichtbar und wählbar.</w:t>
      </w:r>
    </w:p>
    <w:p>
      <w:pPr>
        <w:pStyle w:val="ListParagraph"/>
        <w:numPr>
          <w:ilvl w:val="0"/>
          <w:numId w:val="2"/>
        </w:numPr>
        <w:spacing w:after="80"/>
      </w:pPr>
      <w:r>
        <w:rPr>
          <w:b/>
          <w:bCs/>
        </w:rPr>
        <w:t xml:space="preserve">Statusleiste. </w:t>
      </w:r>
      <w:r>
        <w:t xml:space="preserve">Zeigt dauerhaft den Stand der Stammdaten (Version und Abrufdatum), die Anzahl der Datensätze und ob ungespeicherte Änderungen vorliegen — damit ist jederzeit klar, auf welcher Grundlage gearbeitet wird.</w:t>
      </w:r>
    </w:p>
    <w:p>
      <w:pPr>
        <w:pStyle w:val="ListParagraph"/>
        <w:numPr>
          <w:ilvl w:val="0"/>
          <w:numId w:val="2"/>
        </w:numPr>
        <w:spacing w:after="80"/>
      </w:pPr>
      <w:r>
        <w:rPr>
          <w:b/>
          <w:bCs/>
        </w:rPr>
        <w:t xml:space="preserve">Speichern ist sichtbar, nicht implizit. </w:t>
      </w:r>
      <w:r>
        <w:t xml:space="preserve">Da die Datenhaltung eine Datei im Repository ist, schreibt die Anwendung nur auf ausdrückliche Anweisung — entweder direkt in den ausgecheckten Ordner oder als Download, der die Datei ersetzt. Was sich geändert hat, zeigt anschließend der Git-Vergleich.</w:t>
      </w:r>
    </w:p>
    <w:p>
      <w:pPr>
        <w:pStyle w:val="Heading1"/>
        <w:spacing w:after="160" w:before="320"/>
      </w:pPr>
      <w:r>
        <w:t xml:space="preserve">9. Migration</w:t>
      </w:r>
    </w:p>
    <w:p>
      <w:pPr>
        <w:spacing w:after="140"/>
      </w:pPr>
      <w:r>
        <w:t xml:space="preserve">Die Umstellung erfolgt einmalig und überprüfbar. Der vorhandene ODS-Parser wird dafür ein letztes Mal verwendet: Er exportiert die Tabelle nach CSV, das Ergebnis wird in der neuen Anwendung eingelesen. Damit muss die neue Lösung kein ODS lesen können — ein erheblicher Vereinfachungsgewinn, der die Audit-Befunde C1, C2, C3 und C10 restlos erledigt, weil der betroffene Code schlicht entfällt.</w:t>
      </w:r>
    </w:p>
    <w:p>
      <w:pPr>
        <w:pStyle w:val="ListParagraph"/>
        <w:numPr>
          <w:ilvl w:val="0"/>
          <w:numId w:val="2"/>
        </w:numPr>
        <w:spacing w:after="80"/>
      </w:pPr>
      <w:r>
        <w:t xml:space="preserve">Bestehende ODS einlesen und jede Zeile gegen die Stammdaten abgleichen.</w:t>
      </w:r>
    </w:p>
    <w:p>
      <w:pPr>
        <w:pStyle w:val="ListParagraph"/>
        <w:numPr>
          <w:ilvl w:val="0"/>
          <w:numId w:val="2"/>
        </w:numPr>
        <w:spacing w:after="80"/>
      </w:pPr>
      <w:r>
        <w:t xml:space="preserve">Zuordnung über die Kartennummer, nicht über den Namen — begründet durch den Abgleich in Kapitel 4.2.</w:t>
      </w:r>
    </w:p>
    <w:p>
      <w:pPr>
        <w:pStyle w:val="ListParagraph"/>
        <w:numPr>
          <w:ilvl w:val="0"/>
          <w:numId w:val="2"/>
        </w:numPr>
        <w:spacing w:after="80"/>
      </w:pPr>
      <w:r>
        <w:t xml:space="preserve">Abweichungsbericht erzeugen: nicht zuordenbare Kartennummern, unbekannte Set-Codes, mehrdeutige Treffer, Werte außerhalb des zulässigen Vokabulars. Das sind genau die Fälle, die heute still falsch laufen (C14).</w:t>
      </w:r>
    </w:p>
    <w:p>
      <w:pPr>
        <w:pStyle w:val="ListParagraph"/>
        <w:numPr>
          <w:ilvl w:val="0"/>
          <w:numId w:val="2"/>
        </w:numPr>
        <w:spacing w:after="80"/>
      </w:pPr>
      <w:r>
        <w:t xml:space="preserve">Abweichungen manuell zuordnen oder verwerfen; die Entscheidung wird protokolliert.</w:t>
      </w:r>
    </w:p>
    <w:p>
      <w:pPr>
        <w:pStyle w:val="ListParagraph"/>
        <w:numPr>
          <w:ilvl w:val="0"/>
          <w:numId w:val="2"/>
        </w:numPr>
        <w:spacing w:after="80"/>
      </w:pPr>
      <w:r>
        <w:t xml:space="preserve">Bestand in die neue Datenhaltung übernehmen; die ODS wird zum Archiv.</w:t>
      </w:r>
    </w:p>
    <w:p>
      <w:pPr>
        <w:pStyle w:val="ListParagraph"/>
        <w:numPr>
          <w:ilvl w:val="0"/>
          <w:numId w:val="2"/>
        </w:numPr>
        <w:spacing w:after="80"/>
      </w:pPr>
      <w:r>
        <w:t xml:space="preserve">Gegenprobe: Die Altanwendung bleibt zunächst bestehen. Für dieselbe Sammlung werden beide Exporte erzeugt und gediffed. Abweichungen sind erklärungspflichtig — und in der Regel Fehler der Altanwendung.</w:t>
      </w:r>
    </w:p>
    <w:p>
      <w:pPr>
        <w:pStyle w:val="Heading1"/>
        <w:spacing w:after="160" w:before="320"/>
      </w:pPr>
      <w:r>
        <w:t xml:space="preserve">10. Aufwand, Risiken und Fahrplan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1300"/>
        <w:gridCol w:w="5326"/>
        <w:gridCol w:w="2400"/>
      </w:tblGrid>
      <w:tr>
        <w:trPr>
          <w:tblHeader/>
        </w:trPr>
        <w:tc>
          <w:tcPr>
            <w:tcW w:type="dxa" w:w="1300"/>
            <w:shd w:fill="E7E6E6" w:val="clear"/>
            <w:tcMar>
              <w:top w:type="dxa" w:w="60"/>
              <w:left w:type="dxa" w:w="110"/>
              <w:bottom w:type="dxa" w:w="60"/>
              <w:right w:type="dxa" w:w="110"/>
            </w:tcMar>
          </w:tcPr>
          <w:p>
            <w:pPr>
              <w:spacing w:after="0"/>
              <w:jc w:val="left"/>
            </w:pPr>
            <w:r>
              <w:rPr>
                <w:b/>
                <w:bCs/>
                <w:sz w:val="18"/>
                <w:szCs w:val="18"/>
              </w:rPr>
              <w:t xml:space="preserve">Stufe</w:t>
            </w:r>
          </w:p>
        </w:tc>
        <w:tc>
          <w:tcPr>
            <w:tcW w:type="dxa" w:w="5326"/>
            <w:shd w:fill="E7E6E6" w:val="clear"/>
            <w:tcMar>
              <w:top w:type="dxa" w:w="60"/>
              <w:left w:type="dxa" w:w="110"/>
              <w:bottom w:type="dxa" w:w="60"/>
              <w:right w:type="dxa" w:w="110"/>
            </w:tcMar>
          </w:tcPr>
          <w:p>
            <w:pPr>
              <w:spacing w:after="0"/>
              <w:jc w:val="left"/>
            </w:pPr>
            <w:r>
              <w:rPr>
                <w:b/>
                <w:bCs/>
                <w:sz w:val="18"/>
                <w:szCs w:val="18"/>
              </w:rPr>
              <w:t xml:space="preserve">Inhalt</w:t>
            </w:r>
          </w:p>
        </w:tc>
        <w:tc>
          <w:tcPr>
            <w:tcW w:type="dxa" w:w="2400"/>
            <w:shd w:fill="E7E6E6" w:val="clear"/>
            <w:tcMar>
              <w:top w:type="dxa" w:w="60"/>
              <w:left w:type="dxa" w:w="110"/>
              <w:bottom w:type="dxa" w:w="60"/>
              <w:right w:type="dxa" w:w="110"/>
            </w:tcMar>
          </w:tcPr>
          <w:p>
            <w:pPr>
              <w:spacing w:after="0"/>
              <w:jc w:val="left"/>
            </w:pPr>
            <w:r>
              <w:rPr>
                <w:b/>
                <w:bCs/>
                <w:sz w:val="18"/>
                <w:szCs w:val="18"/>
              </w:rPr>
              <w:t xml:space="preserve">Schätzung</w:t>
            </w:r>
          </w:p>
        </w:tc>
      </w:tr>
      <w:tr>
        <w:trPr>
          <w:tblHeader w:val="false"/>
        </w:trPr>
        <w:tc>
          <w:tcPr>
            <w:tcW w:type="dxa" w:w="1300"/>
            <w:tcMar>
              <w:top w:type="dxa" w:w="60"/>
              <w:left w:type="dxa" w:w="110"/>
              <w:bottom w:type="dxa" w:w="60"/>
              <w:right w:type="dxa" w:w="110"/>
            </w:tcMar>
          </w:tcPr>
          <w:p>
            <w:pPr>
              <w:spacing w:after="0"/>
              <w:jc w:val="left"/>
            </w:pPr>
            <w:r>
              <w:rPr>
                <w:b w:val="false"/>
                <w:bCs w:val="false"/>
                <w:sz w:val="18"/>
                <w:szCs w:val="18"/>
              </w:rPr>
              <w:t xml:space="preserve">1 — MVP</w:t>
            </w:r>
          </w:p>
        </w:tc>
        <w:tc>
          <w:tcPr>
            <w:tcW w:type="dxa" w:w="5326"/>
            <w:tcMar>
              <w:top w:type="dxa" w:w="60"/>
              <w:left w:type="dxa" w:w="110"/>
              <w:bottom w:type="dxa" w:w="60"/>
              <w:right w:type="dxa" w:w="110"/>
            </w:tcMar>
          </w:tcPr>
          <w:p>
            <w:pPr>
              <w:spacing w:after="0"/>
              <w:jc w:val="left"/>
            </w:pPr>
            <w:r>
              <w:rPr>
                <w:b w:val="false"/>
                <w:bCs w:val="false"/>
                <w:sz w:val="18"/>
                <w:szCs w:val="18"/>
              </w:rPr>
              <w:t xml:space="preserve">Repository-Struktur, Stammdaten einspielen, Schnellerfassung, Sammlungsraster, Laden und Speichern der CSV, Fabrary-Export nach dem Skelett-Verfahren, Migration der bestehenden ODS</w:t>
            </w:r>
          </w:p>
        </w:tc>
        <w:tc>
          <w:tcPr>
            <w:tcW w:type="dxa" w:w="2400"/>
            <w:tcMar>
              <w:top w:type="dxa" w:w="60"/>
              <w:left w:type="dxa" w:w="110"/>
              <w:bottom w:type="dxa" w:w="60"/>
              <w:right w:type="dxa" w:w="110"/>
            </w:tcMar>
          </w:tcPr>
          <w:p>
            <w:pPr>
              <w:spacing w:after="0"/>
              <w:jc w:val="left"/>
            </w:pPr>
            <w:r>
              <w:rPr>
                <w:b w:val="false"/>
                <w:bCs w:val="false"/>
                <w:sz w:val="18"/>
                <w:szCs w:val="18"/>
              </w:rPr>
              <w:t xml:space="preserve">12–20 Personentage</w:t>
            </w:r>
          </w:p>
        </w:tc>
      </w:tr>
      <w:tr>
        <w:trPr>
          <w:tblHeader w:val="false"/>
        </w:trPr>
        <w:tc>
          <w:tcPr>
            <w:tcW w:type="dxa" w:w="1300"/>
            <w:tcMar>
              <w:top w:type="dxa" w:w="60"/>
              <w:left w:type="dxa" w:w="110"/>
              <w:bottom w:type="dxa" w:w="60"/>
              <w:right w:type="dxa" w:w="110"/>
            </w:tcMar>
          </w:tcPr>
          <w:p>
            <w:pPr>
              <w:spacing w:after="0"/>
              <w:jc w:val="left"/>
            </w:pPr>
            <w:r>
              <w:rPr>
                <w:b w:val="false"/>
                <w:bCs w:val="false"/>
                <w:sz w:val="18"/>
                <w:szCs w:val="18"/>
              </w:rPr>
              <w:t xml:space="preserve">2 — Vollständigkeit</w:t>
            </w:r>
          </w:p>
        </w:tc>
        <w:tc>
          <w:tcPr>
            <w:tcW w:type="dxa" w:w="5326"/>
            <w:tcMar>
              <w:top w:type="dxa" w:w="60"/>
              <w:left w:type="dxa" w:w="110"/>
              <w:bottom w:type="dxa" w:w="60"/>
              <w:right w:type="dxa" w:w="110"/>
            </w:tcMar>
          </w:tcPr>
          <w:p>
            <w:pPr>
              <w:spacing w:after="0"/>
              <w:jc w:val="left"/>
            </w:pPr>
            <w:r>
              <w:rPr>
                <w:b w:val="false"/>
                <w:bCs w:val="false"/>
                <w:sz w:val="18"/>
                <w:szCs w:val="18"/>
              </w:rPr>
              <w:t xml:space="preserve">Referenzdateien für Cardmarket, Dragonshield und TCG Powertools beschaffen und deren Adapter bauen; Exportprotokoll; Validierung mit Vorschau; Round-Trip-Verifikation; Golden-File-Tests</w:t>
            </w:r>
          </w:p>
        </w:tc>
        <w:tc>
          <w:tcPr>
            <w:tcW w:type="dxa" w:w="2400"/>
            <w:tcMar>
              <w:top w:type="dxa" w:w="60"/>
              <w:left w:type="dxa" w:w="110"/>
              <w:bottom w:type="dxa" w:w="60"/>
              <w:right w:type="dxa" w:w="110"/>
            </w:tcMar>
          </w:tcPr>
          <w:p>
            <w:pPr>
              <w:spacing w:after="0"/>
              <w:jc w:val="left"/>
            </w:pPr>
            <w:r>
              <w:rPr>
                <w:b w:val="false"/>
                <w:bCs w:val="false"/>
                <w:sz w:val="18"/>
                <w:szCs w:val="18"/>
              </w:rPr>
              <w:t xml:space="preserve">10–15 Personentage</w:t>
            </w:r>
          </w:p>
        </w:tc>
      </w:tr>
      <w:tr>
        <w:trPr>
          <w:tblHeader w:val="false"/>
        </w:trPr>
        <w:tc>
          <w:tcPr>
            <w:tcW w:type="dxa" w:w="1300"/>
            <w:tcMar>
              <w:top w:type="dxa" w:w="60"/>
              <w:left w:type="dxa" w:w="110"/>
              <w:bottom w:type="dxa" w:w="60"/>
              <w:right w:type="dxa" w:w="110"/>
            </w:tcMar>
          </w:tcPr>
          <w:p>
            <w:pPr>
              <w:spacing w:after="0"/>
              <w:jc w:val="left"/>
            </w:pPr>
            <w:r>
              <w:rPr>
                <w:b w:val="false"/>
                <w:bCs w:val="false"/>
                <w:sz w:val="18"/>
                <w:szCs w:val="18"/>
              </w:rPr>
              <w:t xml:space="preserve">3 — Komfort</w:t>
            </w:r>
          </w:p>
        </w:tc>
        <w:tc>
          <w:tcPr>
            <w:tcW w:type="dxa" w:w="5326"/>
            <w:tcMar>
              <w:top w:type="dxa" w:w="60"/>
              <w:left w:type="dxa" w:w="110"/>
              <w:bottom w:type="dxa" w:w="60"/>
              <w:right w:type="dxa" w:w="110"/>
            </w:tcMar>
          </w:tcPr>
          <w:p>
            <w:pPr>
              <w:spacing w:after="0"/>
              <w:jc w:val="left"/>
            </w:pPr>
            <w:r>
              <w:rPr>
                <w:b w:val="false"/>
                <w:bCs w:val="false"/>
                <w:sz w:val="18"/>
                <w:szCs w:val="18"/>
              </w:rPr>
              <w:t xml:space="preserve">CSV/XLSX-Round-Trip für Massenbearbeitung, Änderungsbericht für Stammdaten, Cardmarket-ID-Zuordnung, Auswertungen</w:t>
            </w:r>
          </w:p>
        </w:tc>
        <w:tc>
          <w:tcPr>
            <w:tcW w:type="dxa" w:w="2400"/>
            <w:tcMar>
              <w:top w:type="dxa" w:w="60"/>
              <w:left w:type="dxa" w:w="110"/>
              <w:bottom w:type="dxa" w:w="60"/>
              <w:right w:type="dxa" w:w="110"/>
            </w:tcMar>
          </w:tcPr>
          <w:p>
            <w:pPr>
              <w:spacing w:after="0"/>
              <w:jc w:val="left"/>
            </w:pPr>
            <w:r>
              <w:rPr>
                <w:b w:val="false"/>
                <w:bCs w:val="false"/>
                <w:sz w:val="18"/>
                <w:szCs w:val="18"/>
              </w:rPr>
              <w:t xml:space="preserve">8–12 Personentage</w:t>
            </w:r>
          </w:p>
        </w:tc>
      </w:tr>
    </w:tbl>
    <w:p>
      <w:pPr>
        <w:spacing w:after="200" w:before="60"/>
      </w:pPr>
      <w:r>
        <w:rPr>
          <w:i/>
          <w:iCs/>
          <w:color w:val="595959"/>
          <w:sz w:val="18"/>
          <w:szCs w:val="18"/>
        </w:rPr>
        <w:t xml:space="preserve">Grobe Schätzungen, keine Kalkulation. Stufe 1 ist für sich genommen produktiv nutzbar.</w:t>
      </w:r>
    </w:p>
    <w:p>
      <w:pPr>
        <w:pStyle w:val="Heading2"/>
        <w:spacing w:after="120" w:before="240"/>
      </w:pPr>
      <w:r>
        <w:t xml:space="preserve">Risiken</w:t>
      </w:r>
    </w:p>
    <w:tbl>
      <w:tblPr>
        <w:tblW w:type="dxa" w:w="9026"/>
        <w:tblBorders>
          <w:top w:val="single" w:color="BFBFBF" w:sz="4"/>
          <w:left w:val="single" w:color="BFBFBF" w:sz="4"/>
          <w:bottom w:val="single" w:color="BFBFBF" w:sz="4"/>
          <w:right w:val="single" w:color="BFBFBF" w:sz="4"/>
          <w:insideH w:val="single" w:color="D9D9D9" w:sz="4"/>
          <w:insideV w:val="single" w:color="D9D9D9" w:sz="4"/>
        </w:tblBorders>
      </w:tblPr>
      <w:tblGrid>
        <w:gridCol w:w="2800"/>
        <w:gridCol w:w="2826"/>
        <w:gridCol w:w="3400"/>
      </w:tblGrid>
      <w:tr>
        <w:trPr>
          <w:tblHeader/>
        </w:trPr>
        <w:tc>
          <w:tcPr>
            <w:tcW w:type="dxa" w:w="2800"/>
            <w:shd w:fill="E7E6E6" w:val="clear"/>
            <w:tcMar>
              <w:top w:type="dxa" w:w="60"/>
              <w:left w:type="dxa" w:w="110"/>
              <w:bottom w:type="dxa" w:w="60"/>
              <w:right w:type="dxa" w:w="110"/>
            </w:tcMar>
          </w:tcPr>
          <w:p>
            <w:pPr>
              <w:spacing w:after="0"/>
              <w:jc w:val="left"/>
            </w:pPr>
            <w:r>
              <w:rPr>
                <w:b/>
                <w:bCs/>
                <w:sz w:val="18"/>
                <w:szCs w:val="18"/>
              </w:rPr>
              <w:t xml:space="preserve">Risiko</w:t>
            </w:r>
          </w:p>
        </w:tc>
        <w:tc>
          <w:tcPr>
            <w:tcW w:type="dxa" w:w="2826"/>
            <w:shd w:fill="E7E6E6" w:val="clear"/>
            <w:tcMar>
              <w:top w:type="dxa" w:w="60"/>
              <w:left w:type="dxa" w:w="110"/>
              <w:bottom w:type="dxa" w:w="60"/>
              <w:right w:type="dxa" w:w="110"/>
            </w:tcMar>
          </w:tcPr>
          <w:p>
            <w:pPr>
              <w:spacing w:after="0"/>
              <w:jc w:val="left"/>
            </w:pPr>
            <w:r>
              <w:rPr>
                <w:b/>
                <w:bCs/>
                <w:sz w:val="18"/>
                <w:szCs w:val="18"/>
              </w:rPr>
              <w:t xml:space="preserve">Auswirkung</w:t>
            </w:r>
          </w:p>
        </w:tc>
        <w:tc>
          <w:tcPr>
            <w:tcW w:type="dxa" w:w="3400"/>
            <w:shd w:fill="E7E6E6" w:val="clear"/>
            <w:tcMar>
              <w:top w:type="dxa" w:w="60"/>
              <w:left w:type="dxa" w:w="110"/>
              <w:bottom w:type="dxa" w:w="60"/>
              <w:right w:type="dxa" w:w="110"/>
            </w:tcMar>
          </w:tcPr>
          <w:p>
            <w:pPr>
              <w:spacing w:after="0"/>
              <w:jc w:val="left"/>
            </w:pPr>
            <w:r>
              <w:rPr>
                <w:b/>
                <w:bCs/>
                <w:sz w:val="18"/>
                <w:szCs w:val="18"/>
              </w:rPr>
              <w:t xml:space="preserve">Gegenmaßnahme</w:t>
            </w:r>
          </w:p>
        </w:tc>
      </w:tr>
      <w:tr>
        <w:trPr>
          <w:tblHeader w:val="false"/>
        </w:trPr>
        <w:tc>
          <w:tcPr>
            <w:tcW w:type="dxa" w:w="2800"/>
            <w:tcMar>
              <w:top w:type="dxa" w:w="60"/>
              <w:left w:type="dxa" w:w="110"/>
              <w:bottom w:type="dxa" w:w="60"/>
              <w:right w:type="dxa" w:w="110"/>
            </w:tcMar>
          </w:tcPr>
          <w:p>
            <w:pPr>
              <w:spacing w:after="0"/>
              <w:jc w:val="left"/>
            </w:pPr>
            <w:r>
              <w:rPr>
                <w:b w:val="false"/>
                <w:bCs w:val="false"/>
                <w:sz w:val="18"/>
                <w:szCs w:val="18"/>
              </w:rPr>
              <w:t xml:space="preserve">Zielformate sind undokumentiert und können sich ändern</w:t>
            </w:r>
          </w:p>
        </w:tc>
        <w:tc>
          <w:tcPr>
            <w:tcW w:type="dxa" w:w="2826"/>
            <w:tcMar>
              <w:top w:type="dxa" w:w="60"/>
              <w:left w:type="dxa" w:w="110"/>
              <w:bottom w:type="dxa" w:w="60"/>
              <w:right w:type="dxa" w:w="110"/>
            </w:tcMar>
          </w:tcPr>
          <w:p>
            <w:pPr>
              <w:spacing w:after="0"/>
              <w:jc w:val="left"/>
            </w:pPr>
            <w:r>
              <w:rPr>
                <w:b w:val="false"/>
                <w:bCs w:val="false"/>
                <w:sz w:val="18"/>
                <w:szCs w:val="18"/>
              </w:rPr>
              <w:t xml:space="preserve">Exporte werden still abgelehnt oder falsch importiert</w:t>
            </w:r>
          </w:p>
        </w:tc>
        <w:tc>
          <w:tcPr>
            <w:tcW w:type="dxa" w:w="3400"/>
            <w:tcMar>
              <w:top w:type="dxa" w:w="60"/>
              <w:left w:type="dxa" w:w="110"/>
              <w:bottom w:type="dxa" w:w="60"/>
              <w:right w:type="dxa" w:w="110"/>
            </w:tcMar>
          </w:tcPr>
          <w:p>
            <w:pPr>
              <w:spacing w:after="0"/>
              <w:jc w:val="left"/>
            </w:pPr>
            <w:r>
              <w:rPr>
                <w:b w:val="false"/>
                <w:bCs w:val="false"/>
                <w:sz w:val="18"/>
                <w:szCs w:val="18"/>
              </w:rPr>
              <w:t xml:space="preserve">Referenzdatei je Zielsystem als Skelett und Sollbild; Round-Trip-Verifikation und Golden-File-Tests (Kapitel 7). Für Fabrary bereits abgedeckt, für die übrigen drei noch zu beschaffen</w:t>
            </w:r>
          </w:p>
        </w:tc>
      </w:tr>
      <w:tr>
        <w:trPr>
          <w:tblHeader w:val="false"/>
        </w:trPr>
        <w:tc>
          <w:tcPr>
            <w:tcW w:type="dxa" w:w="2800"/>
            <w:tcMar>
              <w:top w:type="dxa" w:w="60"/>
              <w:left w:type="dxa" w:w="110"/>
              <w:bottom w:type="dxa" w:w="60"/>
              <w:right w:type="dxa" w:w="110"/>
            </w:tcMar>
          </w:tcPr>
          <w:p>
            <w:pPr>
              <w:spacing w:after="0"/>
              <w:jc w:val="left"/>
            </w:pPr>
            <w:r>
              <w:rPr>
                <w:b w:val="false"/>
                <w:bCs w:val="false"/>
                <w:sz w:val="18"/>
                <w:szCs w:val="18"/>
              </w:rPr>
              <w:t xml:space="preserve">87 Zeilen der Fabrary-Referenz sind nicht eindeutig adressierbar</w:t>
            </w:r>
          </w:p>
        </w:tc>
        <w:tc>
          <w:tcPr>
            <w:tcW w:type="dxa" w:w="2826"/>
            <w:tcMar>
              <w:top w:type="dxa" w:w="60"/>
              <w:left w:type="dxa" w:w="110"/>
              <w:bottom w:type="dxa" w:w="60"/>
              <w:right w:type="dxa" w:w="110"/>
            </w:tcMar>
          </w:tcPr>
          <w:p>
            <w:pPr>
              <w:spacing w:after="0"/>
              <w:jc w:val="left"/>
            </w:pPr>
            <w:r>
              <w:rPr>
                <w:b w:val="false"/>
                <w:bCs w:val="false"/>
                <w:sz w:val="18"/>
                <w:szCs w:val="18"/>
              </w:rPr>
              <w:t xml:space="preserve">Mengen landen beim Abgleich auf der falschen von zwei identischen Zeilen</w:t>
            </w:r>
          </w:p>
        </w:tc>
        <w:tc>
          <w:tcPr>
            <w:tcW w:type="dxa" w:w="3400"/>
            <w:tcMar>
              <w:top w:type="dxa" w:w="60"/>
              <w:left w:type="dxa" w:w="110"/>
              <w:bottom w:type="dxa" w:w="60"/>
              <w:right w:type="dxa" w:w="110"/>
            </w:tcMar>
          </w:tcPr>
          <w:p>
            <w:pPr>
              <w:spacing w:after="0"/>
              <w:jc w:val="left"/>
            </w:pPr>
            <w:r>
              <w:rPr>
                <w:b w:val="false"/>
                <w:bCs w:val="false"/>
                <w:sz w:val="18"/>
                <w:szCs w:val="18"/>
              </w:rPr>
              <w:t xml:space="preserve">Fall ausdrücklich behandeln und im Protokoll ausweisen, statt Eindeutigkeit anzunehmen</w:t>
            </w:r>
          </w:p>
        </w:tc>
      </w:tr>
      <w:tr>
        <w:trPr>
          <w:tblHeader w:val="false"/>
        </w:trPr>
        <w:tc>
          <w:tcPr>
            <w:tcW w:type="dxa" w:w="2800"/>
            <w:tcMar>
              <w:top w:type="dxa" w:w="60"/>
              <w:left w:type="dxa" w:w="110"/>
              <w:bottom w:type="dxa" w:w="60"/>
              <w:right w:type="dxa" w:w="110"/>
            </w:tcMar>
          </w:tcPr>
          <w:p>
            <w:pPr>
              <w:spacing w:after="0"/>
              <w:jc w:val="left"/>
            </w:pPr>
            <w:r>
              <w:rPr>
                <w:b w:val="false"/>
                <w:bCs w:val="false"/>
                <w:sz w:val="18"/>
                <w:szCs w:val="18"/>
              </w:rPr>
              <w:t xml:space="preserve">Keine Cardmarket-Produkt-ID im offenen Datensatz</w:t>
            </w:r>
          </w:p>
        </w:tc>
        <w:tc>
          <w:tcPr>
            <w:tcW w:type="dxa" w:w="2826"/>
            <w:tcMar>
              <w:top w:type="dxa" w:w="60"/>
              <w:left w:type="dxa" w:w="110"/>
              <w:bottom w:type="dxa" w:w="60"/>
              <w:right w:type="dxa" w:w="110"/>
            </w:tcMar>
          </w:tcPr>
          <w:p>
            <w:pPr>
              <w:spacing w:after="0"/>
              <w:jc w:val="left"/>
            </w:pPr>
            <w:r>
              <w:rPr>
                <w:b w:val="false"/>
                <w:bCs w:val="false"/>
                <w:sz w:val="18"/>
                <w:szCs w:val="18"/>
              </w:rPr>
              <w:t xml:space="preserve">TCG-Powertools-Export bleibt auf Namensabgleich angewiesen</w:t>
            </w:r>
          </w:p>
        </w:tc>
        <w:tc>
          <w:tcPr>
            <w:tcW w:type="dxa" w:w="3400"/>
            <w:tcMar>
              <w:top w:type="dxa" w:w="60"/>
              <w:left w:type="dxa" w:w="110"/>
              <w:bottom w:type="dxa" w:w="60"/>
              <w:right w:type="dxa" w:w="110"/>
            </w:tcMar>
          </w:tcPr>
          <w:p>
            <w:pPr>
              <w:spacing w:after="0"/>
              <w:jc w:val="left"/>
            </w:pPr>
            <w:r>
              <w:rPr>
                <w:b w:val="false"/>
                <w:bCs w:val="false"/>
                <w:sz w:val="18"/>
                <w:szCs w:val="18"/>
              </w:rPr>
              <w:t xml:space="preserve">Namensabgleich in Stufe 1, eigene Zuordnungstabelle in Stufe 3</w:t>
            </w:r>
          </w:p>
        </w:tc>
      </w:tr>
      <w:tr>
        <w:trPr>
          <w:tblHeader w:val="false"/>
        </w:trPr>
        <w:tc>
          <w:tcPr>
            <w:tcW w:type="dxa" w:w="2800"/>
            <w:tcMar>
              <w:top w:type="dxa" w:w="60"/>
              <w:left w:type="dxa" w:w="110"/>
              <w:bottom w:type="dxa" w:w="60"/>
              <w:right w:type="dxa" w:w="110"/>
            </w:tcMar>
          </w:tcPr>
          <w:p>
            <w:pPr>
              <w:spacing w:after="0"/>
              <w:jc w:val="left"/>
            </w:pPr>
            <w:r>
              <w:rPr>
                <w:b w:val="false"/>
                <w:bCs w:val="false"/>
                <w:sz w:val="18"/>
                <w:szCs w:val="18"/>
              </w:rPr>
              <w:t xml:space="preserve">Abhängigkeit von einem Community-Projekt</w:t>
            </w:r>
          </w:p>
        </w:tc>
        <w:tc>
          <w:tcPr>
            <w:tcW w:type="dxa" w:w="2826"/>
            <w:tcMar>
              <w:top w:type="dxa" w:w="60"/>
              <w:left w:type="dxa" w:w="110"/>
              <w:bottom w:type="dxa" w:w="60"/>
              <w:right w:type="dxa" w:w="110"/>
            </w:tcMar>
          </w:tcPr>
          <w:p>
            <w:pPr>
              <w:spacing w:after="0"/>
              <w:jc w:val="left"/>
            </w:pPr>
            <w:r>
              <w:rPr>
                <w:b w:val="false"/>
                <w:bCs w:val="false"/>
                <w:sz w:val="18"/>
                <w:szCs w:val="18"/>
              </w:rPr>
              <w:t xml:space="preserve">Stammdaten veralten oder das Projekt wird eingestellt</w:t>
            </w:r>
          </w:p>
        </w:tc>
        <w:tc>
          <w:tcPr>
            <w:tcW w:type="dxa" w:w="3400"/>
            <w:tcMar>
              <w:top w:type="dxa" w:w="60"/>
              <w:left w:type="dxa" w:w="110"/>
              <w:bottom w:type="dxa" w:w="60"/>
              <w:right w:type="dxa" w:w="110"/>
            </w:tcMar>
          </w:tcPr>
          <w:p>
            <w:pPr>
              <w:spacing w:after="0"/>
              <w:jc w:val="left"/>
            </w:pPr>
            <w:r>
              <w:rPr>
                <w:b w:val="false"/>
                <w:bCs w:val="false"/>
                <w:sz w:val="18"/>
                <w:szCs w:val="18"/>
              </w:rPr>
              <w:t xml:space="preserve">Lokaler Cache mit Versionsstand; Datensatz ist offen und kopierbar; manuelle Nachpflege bleibt möglich</w:t>
            </w:r>
          </w:p>
        </w:tc>
      </w:tr>
      <w:tr>
        <w:trPr>
          <w:tblHeader w:val="false"/>
        </w:trPr>
        <w:tc>
          <w:tcPr>
            <w:tcW w:type="dxa" w:w="2800"/>
            <w:tcMar>
              <w:top w:type="dxa" w:w="60"/>
              <w:left w:type="dxa" w:w="110"/>
              <w:bottom w:type="dxa" w:w="60"/>
              <w:right w:type="dxa" w:w="110"/>
            </w:tcMar>
          </w:tcPr>
          <w:p>
            <w:pPr>
              <w:spacing w:after="0"/>
              <w:jc w:val="left"/>
            </w:pPr>
            <w:r>
              <w:rPr>
                <w:b w:val="false"/>
                <w:bCs w:val="false"/>
                <w:sz w:val="18"/>
                <w:szCs w:val="18"/>
              </w:rPr>
              <w:t xml:space="preserve">Bedienkomfort erreicht das Niveau der Tabelle nicht</w:t>
            </w:r>
          </w:p>
        </w:tc>
        <w:tc>
          <w:tcPr>
            <w:tcW w:type="dxa" w:w="2826"/>
            <w:tcMar>
              <w:top w:type="dxa" w:w="60"/>
              <w:left w:type="dxa" w:w="110"/>
              <w:bottom w:type="dxa" w:w="60"/>
              <w:right w:type="dxa" w:w="110"/>
            </w:tcMar>
          </w:tcPr>
          <w:p>
            <w:pPr>
              <w:spacing w:after="0"/>
              <w:jc w:val="left"/>
            </w:pPr>
            <w:r>
              <w:rPr>
                <w:b w:val="false"/>
                <w:bCs w:val="false"/>
                <w:sz w:val="18"/>
                <w:szCs w:val="18"/>
              </w:rPr>
              <w:t xml:space="preserve">Die Lösung wird nicht genutzt</w:t>
            </w:r>
          </w:p>
        </w:tc>
        <w:tc>
          <w:tcPr>
            <w:tcW w:type="dxa" w:w="3400"/>
            <w:tcMar>
              <w:top w:type="dxa" w:w="60"/>
              <w:left w:type="dxa" w:w="110"/>
              <w:bottom w:type="dxa" w:w="60"/>
              <w:right w:type="dxa" w:w="110"/>
            </w:tcMar>
          </w:tcPr>
          <w:p>
            <w:pPr>
              <w:spacing w:after="0"/>
              <w:jc w:val="left"/>
            </w:pPr>
            <w:r>
              <w:rPr>
                <w:b w:val="false"/>
                <w:bCs w:val="false"/>
                <w:sz w:val="18"/>
                <w:szCs w:val="18"/>
              </w:rPr>
              <w:t xml:space="preserve">Schnellerfassung und Raster zuerst bauen und früh im Alltag gegen die Tabelle testen</w:t>
            </w:r>
          </w:p>
        </w:tc>
      </w:tr>
      <w:tr>
        <w:trPr>
          <w:tblHeader w:val="false"/>
        </w:trPr>
        <w:tc>
          <w:tcPr>
            <w:tcW w:type="dxa" w:w="2800"/>
            <w:tcMar>
              <w:top w:type="dxa" w:w="60"/>
              <w:left w:type="dxa" w:w="110"/>
              <w:bottom w:type="dxa" w:w="60"/>
              <w:right w:type="dxa" w:w="110"/>
            </w:tcMar>
          </w:tcPr>
          <w:p>
            <w:pPr>
              <w:spacing w:after="0"/>
              <w:jc w:val="left"/>
            </w:pPr>
            <w:r>
              <w:rPr>
                <w:b w:val="false"/>
                <w:bCs w:val="false"/>
                <w:sz w:val="18"/>
                <w:szCs w:val="18"/>
              </w:rPr>
              <w:t xml:space="preserve">Direkter Ordnerzugriff nur in Chromium-Browsern</w:t>
            </w:r>
          </w:p>
        </w:tc>
        <w:tc>
          <w:tcPr>
            <w:tcW w:type="dxa" w:w="2826"/>
            <w:tcMar>
              <w:top w:type="dxa" w:w="60"/>
              <w:left w:type="dxa" w:w="110"/>
              <w:bottom w:type="dxa" w:w="60"/>
              <w:right w:type="dxa" w:w="110"/>
            </w:tcMar>
          </w:tcPr>
          <w:p>
            <w:pPr>
              <w:spacing w:after="0"/>
              <w:jc w:val="left"/>
            </w:pPr>
            <w:r>
              <w:rPr>
                <w:b w:val="false"/>
                <w:bCs w:val="false"/>
                <w:sz w:val="18"/>
                <w:szCs w:val="18"/>
              </w:rPr>
              <w:t xml:space="preserve">In Firefox und Safari ist Speichern umständlicher (Download statt Schreiben)</w:t>
            </w:r>
          </w:p>
        </w:tc>
        <w:tc>
          <w:tcPr>
            <w:tcW w:type="dxa" w:w="3400"/>
            <w:tcMar>
              <w:top w:type="dxa" w:w="60"/>
              <w:left w:type="dxa" w:w="110"/>
              <w:bottom w:type="dxa" w:w="60"/>
              <w:right w:type="dxa" w:w="110"/>
            </w:tcMar>
          </w:tcPr>
          <w:p>
            <w:pPr>
              <w:spacing w:after="0"/>
              <w:jc w:val="left"/>
            </w:pPr>
            <w:r>
              <w:rPr>
                <w:b w:val="false"/>
                <w:bCs w:val="false"/>
                <w:sz w:val="18"/>
                <w:szCs w:val="18"/>
              </w:rPr>
              <w:t xml:space="preserve">Download-Weg von Anfang an als gleichwertig behandeln; Alternative B als Rückfallebene (Kapitel 6)</w:t>
            </w:r>
          </w:p>
        </w:tc>
      </w:tr>
      <w:tr>
        <w:trPr>
          <w:tblHeader w:val="false"/>
        </w:trPr>
        <w:tc>
          <w:tcPr>
            <w:tcW w:type="dxa" w:w="2800"/>
            <w:tcMar>
              <w:top w:type="dxa" w:w="60"/>
              <w:left w:type="dxa" w:w="110"/>
              <w:bottom w:type="dxa" w:w="60"/>
              <w:right w:type="dxa" w:w="110"/>
            </w:tcMar>
          </w:tcPr>
          <w:p>
            <w:pPr>
              <w:spacing w:after="0"/>
              <w:jc w:val="left"/>
            </w:pPr>
            <w:r>
              <w:rPr>
                <w:b w:val="false"/>
                <w:bCs w:val="false"/>
                <w:sz w:val="18"/>
                <w:szCs w:val="18"/>
              </w:rPr>
              <w:t xml:space="preserve">Neuschreiben der Domänenlogik verliert erarbeitetes Wissen</w:t>
            </w:r>
          </w:p>
        </w:tc>
        <w:tc>
          <w:tcPr>
            <w:tcW w:type="dxa" w:w="2826"/>
            <w:tcMar>
              <w:top w:type="dxa" w:w="60"/>
              <w:left w:type="dxa" w:w="110"/>
              <w:bottom w:type="dxa" w:w="60"/>
              <w:right w:type="dxa" w:w="110"/>
            </w:tcMar>
          </w:tcPr>
          <w:p>
            <w:pPr>
              <w:spacing w:after="0"/>
              <w:jc w:val="left"/>
            </w:pPr>
            <w:r>
              <w:rPr>
                <w:b w:val="false"/>
                <w:bCs w:val="false"/>
                <w:sz w:val="18"/>
                <w:szCs w:val="18"/>
              </w:rPr>
              <w:t xml:space="preserve">Bekannte Sonderfälle treten erneut auf</w:t>
            </w:r>
          </w:p>
        </w:tc>
        <w:tc>
          <w:tcPr>
            <w:tcW w:type="dxa" w:w="3400"/>
            <w:tcMar>
              <w:top w:type="dxa" w:w="60"/>
              <w:left w:type="dxa" w:w="110"/>
              <w:bottom w:type="dxa" w:w="60"/>
              <w:right w:type="dxa" w:w="110"/>
            </w:tcMar>
          </w:tcPr>
          <w:p>
            <w:pPr>
              <w:spacing w:after="0"/>
              <w:jc w:val="left"/>
            </w:pPr>
            <w:r>
              <w:rPr>
                <w:b w:val="false"/>
                <w:bCs w:val="false"/>
                <w:sz w:val="18"/>
                <w:szCs w:val="18"/>
              </w:rPr>
              <w:t xml:space="preserve">Bestehenden Code als Referenz behalten; beide Exporte für dieselbe Sammlung diffen (Kapitel 9)</w:t>
            </w:r>
          </w:p>
        </w:tc>
      </w:tr>
    </w:tbl>
    <w:p>
      <w:pPr>
        <w:pStyle w:val="Heading1"/>
        <w:spacing w:after="160" w:before="320"/>
      </w:pPr>
      <w:r>
        <w:t xml:space="preserve">11. Empfehlung und nächster Schritt</w:t>
      </w:r>
    </w:p>
    <w:p>
      <w:pPr>
        <w:spacing w:after="140"/>
      </w:pPr>
      <w:r>
        <w:t xml:space="preserve">Empfohlen wird Alternative A: eine statische Web-Anwendung ohne Build-Schritt, mit dem Bestand als CSV-Datei im Repository und Kartenstammdaten aus dem offenen Datensatz, umgesetzt in drei Stufen. Der entscheidende Gewinn liegt nicht in der Oberfläche, sondern in zwei Entkopplungen: Nutzereigene Daten werden von Stammdaten getrennt, und der Schlüssel liegt auf der Druck-Ebene statt auf dem Kartennamen. Damit verschwindet die Fehlerklasse, die das Audit als gefährlichste identifiziert hat.</w:t>
      </w:r>
    </w:p>
    <w:p>
      <w:pPr>
        <w:spacing w:after="140"/>
      </w:pPr>
      <w:r>
        <w:t xml:space="preserve">Die Zugänglichkeitsanforderung wird dabei nicht nur erfüllt, sondern trägt zur Qualität bei: Weil Anwendung und Daten gemeinsam im Repository liegen und beide im Klartext vorliegen, ist jeder Stand reproduzierbar, jede Änderung nachvollziehbar und nichts an eine installierte Umgebung gebunden. Eine Lösung ohne Installationsvoraussetzungen ist zugleich eine Lösung ohne Abhängigkeiten, die veralten können.</w:t>
      </w:r>
    </w:p>
    <w:p>
      <w:pPr>
        <w:spacing w:after="140"/>
      </w:pPr>
      <w:r>
        <w:t xml:space="preserve">Als nächster Schritt wird ein kurzer Machbarkeitsnachweis vorgeschlagen, bevor Aufwand in die Oberfläche fließt — als einzelne HTML-Datei, die bereits der Keim der späteren Anwendung ist: die bestehende ODS gegen die Fabrary-Referenzdatei und den offenen Kartendatensatz abgleichen und den Abweichungsbericht erzeugen. Dieser Bericht beantwortet drei Fragen auf einmal — wie gut die Zuordnung über die Kartennummer tatsächlich funktioniert, wie viele Datensätze in der heutigen Sammlung bereits stillschweigend falsch sind, und ob das Skelett-Verfahren aus Kapitel 7 trägt. Aufwand: ein bis zwei Personentage. Er benötigt keine Oberfläche und ist damit die günstigste Art, die zentrale Annahme dieses Konzepts zu prüfen.</w:t>
      </w:r>
    </w:p>
    <w:p>
      <w:pPr>
        <w:pStyle w:val="Heading1"/>
        <w:spacing w:after="160" w:before="320"/>
      </w:pPr>
      <w:r>
        <w:t xml:space="preserve">Quellen</w:t>
      </w:r>
    </w:p>
    <w:p>
      <w:pPr>
        <w:pStyle w:val="ListParagraph"/>
        <w:numPr>
          <w:ilvl w:val="0"/>
          <w:numId w:val="2"/>
        </w:numPr>
        <w:spacing w:after="80"/>
      </w:pPr>
      <w:r>
        <w:t xml:space="preserve">Offener Kartendatensatz: </w:t>
      </w:r>
      <w:hyperlink w:history="1" r:id="rIdqw6yf92ndfntuz1o9mvpd">
        <w:r>
          <w:rPr>
            <w:rStyle w:val="Hyperlink"/>
          </w:rPr>
          <w:t xml:space="preserve">github.com/the-fab-cube/flesh-and-blood-cards</w:t>
        </w:r>
      </w:hyperlink>
    </w:p>
    <w:p>
      <w:pPr>
        <w:pStyle w:val="ListParagraph"/>
        <w:numPr>
          <w:ilvl w:val="0"/>
          <w:numId w:val="2"/>
        </w:numPr>
        <w:spacing w:after="80"/>
      </w:pPr>
      <w:r>
        <w:t xml:space="preserve">Card-Schema (printings-Felder): </w:t>
      </w:r>
      <w:hyperlink w:history="1" r:id="rIdqhuylxzjzxtpr4kjm7joj">
        <w:r>
          <w:rPr>
            <w:rStyle w:val="Hyperlink"/>
          </w:rPr>
          <w:t xml:space="preserve">the-fab-cube.github.io/flesh-and-blood-cards/web/json-schemas/card-schema.html</w:t>
        </w:r>
      </w:hyperlink>
    </w:p>
    <w:p>
      <w:pPr>
        <w:pStyle w:val="ListParagraph"/>
        <w:numPr>
          <w:ilvl w:val="0"/>
          <w:numId w:val="2"/>
        </w:numPr>
        <w:spacing w:after="80"/>
      </w:pPr>
      <w:r>
        <w:t xml:space="preserve">Normalisierte CSV-Verteilung des Datensatzes (Dateigrößen aus Kapitel 4.1): </w:t>
      </w:r>
      <w:hyperlink w:history="1" r:id="rIdlpprk1ibomwixvd25kxq7">
        <w:r>
          <w:rPr>
            <w:rStyle w:val="Hyperlink"/>
          </w:rPr>
          <w:t xml:space="preserve">github.com/the-fab-cube/flesh-and-blood-cards/tree/develop/csvs/english</w:t>
        </w:r>
      </w:hyperlink>
    </w:p>
    <w:p>
      <w:pPr>
        <w:pStyle w:val="ListParagraph"/>
        <w:numPr>
          <w:ilvl w:val="0"/>
          <w:numId w:val="2"/>
        </w:numPr>
        <w:spacing w:after="80"/>
      </w:pPr>
      <w:r>
        <w:t xml:space="preserve">Browser-Unterstützung für den lokalen Dateizugriff: </w:t>
      </w:r>
      <w:hyperlink w:history="1" r:id="rIdme9zuqqhjjawf_dxnhcec">
        <w:r>
          <w:rPr>
            <w:rStyle w:val="Hyperlink"/>
          </w:rPr>
          <w:t xml:space="preserve">MDN, File System API</w:t>
        </w:r>
      </w:hyperlink>
    </w:p>
    <w:p>
      <w:pPr>
        <w:pStyle w:val="ListParagraph"/>
        <w:numPr>
          <w:ilvl w:val="0"/>
          <w:numId w:val="2"/>
        </w:numPr>
        <w:spacing w:after="80"/>
      </w:pPr>
      <w:r>
        <w:t xml:space="preserve">Zielsystem Fabrary: </w:t>
      </w:r>
      <w:hyperlink w:history="1" r:id="rIducjfenlckhaqqklx159zc">
        <w:r>
          <w:rPr>
            <w:rStyle w:val="Hyperlink"/>
          </w:rPr>
          <w:t xml:space="preserve">fabrary.net</w:t>
        </w:r>
      </w:hyperlink>
    </w:p>
    <w:p>
      <w:pPr>
        <w:pStyle w:val="ListParagraph"/>
        <w:numPr>
          <w:ilvl w:val="0"/>
          <w:numId w:val="2"/>
        </w:numPr>
        <w:spacing w:after="80"/>
      </w:pPr>
      <w:r>
        <w:t xml:space="preserve">Fabrary-Formatreferenz: docs/Fabrary Export Beispiel.csv, 16.659 Datenzeilen, ausgewertet am 22.09.2026</w:t>
      </w:r>
    </w:p>
    <w:p>
      <w:pPr>
        <w:pStyle w:val="ListParagraph"/>
        <w:numPr>
          <w:ilvl w:val="0"/>
          <w:numId w:val="2"/>
        </w:numPr>
        <w:spacing w:after="80"/>
      </w:pPr>
      <w:r>
        <w:t xml:space="preserve">Code-Audit: docs/AUDIT.md im Projekt-Repository (Revision a384652)</w:t>
      </w:r>
    </w:p>
    <w:p>
      <w:pPr>
        <w:pStyle w:val="ListParagraph"/>
        <w:numPr>
          <w:ilvl w:val="0"/>
          <w:numId w:val="2"/>
        </w:numPr>
        <w:spacing w:after="80"/>
      </w:pPr>
      <w:r>
        <w:t xml:space="preserve">Messwerte der Datenquelle: docs/example.ods, vermessen am 22.09.2026</w:t>
      </w:r>
    </w:p>
    <w:p>
      <w:pPr>
        <w:pStyle w:val="ListParagraph"/>
        <w:numPr>
          <w:ilvl w:val="0"/>
          <w:numId w:val="2"/>
        </w:numPr>
        <w:spacing w:after="80"/>
      </w:pPr>
      <w:r>
        <w:t xml:space="preserve">Vergleichsgrundlage Tool-Export: dist/Release/net6.0/fabrary.csv, 1.390 Datenzeilen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Konzept FabCollectionTool — Entscheidungsvorlage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Light" w:cs="Calibri Light" w:eastAsia="Calibri Light" w:hAnsi="Calibri Light"/>
      <w:b/>
      <w:bCs/>
      <w:color w:val="1F3864"/>
      <w:sz w:val="30"/>
      <w:szCs w:val="30"/>
    </w:rPr>
  </w:style>
  <w:style w:type="paragraph" w:styleId="Heading2">
    <w:name w:val="Heading 2"/>
    <w:basedOn w:val="Normal"/>
    <w:next w:val="Normal"/>
    <w:qFormat/>
    <w:pPr>
      <w:spacing w:after="120" w:before="240"/>
    </w:pPr>
    <w:rPr>
      <w:rFonts w:ascii="Calibri Light" w:cs="Calibri Light" w:eastAsia="Calibri Light" w:hAnsi="Calibri Light"/>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xx6q1nf6diddspyf8z8z" Type="http://schemas.openxmlformats.org/officeDocument/2006/relationships/hyperlink" Target="https://github.com/the-fab-cube/flesh-and-blood-cards" TargetMode="External"/><Relationship Id="rIdqw6yf92ndfntuz1o9mvpd" Type="http://schemas.openxmlformats.org/officeDocument/2006/relationships/hyperlink" Target="https://github.com/the-fab-cube/flesh-and-blood-cards" TargetMode="External"/><Relationship Id="rIdqhuylxzjzxtpr4kjm7joj" Type="http://schemas.openxmlformats.org/officeDocument/2006/relationships/hyperlink" Target="https://the-fab-cube.github.io/flesh-and-blood-cards/web/json-schemas/card-schema.html" TargetMode="External"/><Relationship Id="rIdlpprk1ibomwixvd25kxq7" Type="http://schemas.openxmlformats.org/officeDocument/2006/relationships/hyperlink" Target="https://github.com/the-fab-cube/flesh-and-blood-cards/tree/develop/csvs/english" TargetMode="External"/><Relationship Id="rIdme9zuqqhjjawf_dxnhcec" Type="http://schemas.openxmlformats.org/officeDocument/2006/relationships/hyperlink" Target="https://developer.mozilla.org/en-US/docs/Web/API/File_System_API" TargetMode="External"/><Relationship Id="rIducjfenlckhaqqklx159zc" Type="http://schemas.openxmlformats.org/officeDocument/2006/relationships/hyperlink" Target="https://fabrary.net"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 zur Neuentwicklung des FabCollectionTool</dc:title>
  <dc:creator>FabCollectionTool</dc:creator>
  <dc:description>Entscheidungsvorlage für eine Neuentwicklung</dc:description>
  <cp:lastModifiedBy>Un-named</cp:lastModifiedBy>
  <cp:revision>1</cp:revision>
  <dcterms:created xsi:type="dcterms:W3CDTF">2026-09-22T20:26:08.098Z</dcterms:created>
  <dcterms:modified xsi:type="dcterms:W3CDTF">2026-09-22T20:26:08.098Z</dcterms:modified>
</cp:coreProperties>
</file>

<file path=docProps/custom.xml><?xml version="1.0" encoding="utf-8"?>
<Properties xmlns="http://schemas.openxmlformats.org/officeDocument/2006/custom-properties" xmlns:vt="http://schemas.openxmlformats.org/officeDocument/2006/docPropsVTypes"/>
</file>