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FitsAir Sri Lanka</w:t>
      </w:r>
    </w:p>
    <w:p>
      <w:pPr>
        <w:pStyle w:val="Heading1"/>
        <w:jc w:val="center"/>
      </w:pPr>
      <w:r>
        <w:t>Strategic Expansion Analysis &amp; Investment Memorandum</w:t>
      </w:r>
    </w:p>
    <w:p>
      <w:pPr>
        <w:jc w:val="center"/>
      </w:pPr>
      <w:r>
        <w:rPr>
          <w:b/>
          <w:color w:val="C00000"/>
        </w:rPr>
        <w:t>CONFIDENTIAL INVESTMENT MEMORANDUM</w:t>
      </w:r>
    </w:p>
    <w:p>
      <w:r>
        <w:rPr>
          <w:b/>
        </w:rPr>
        <w:t xml:space="preserve">Prepared For: </w:t>
      </w:r>
      <w:r>
        <w:t>Private Equity / Strategic Investors</w:t>
        <w:br/>
      </w:r>
      <w:r>
        <w:rPr>
          <w:b/>
        </w:rPr>
        <w:t xml:space="preserve">Classification: </w:t>
      </w:r>
      <w:r>
        <w:t>Confidential</w:t>
        <w:br/>
      </w:r>
      <w:r>
        <w:rPr>
          <w:b/>
        </w:rPr>
        <w:t xml:space="preserve">Date: </w:t>
      </w:r>
      <w:r>
        <w:t>May 2025</w:t>
        <w:br/>
      </w:r>
      <w:r>
        <w:rPr>
          <w:b/>
        </w:rPr>
        <w:t xml:space="preserve">Report Type: </w:t>
      </w:r>
      <w:r>
        <w:t>Deloitte-Style Investment Analysis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b/>
        </w:rPr>
        <w:t>1. Executive Summary</w:t>
      </w:r>
      <w:r>
        <w:t xml:space="preserve">  ..........  3</w:t>
      </w:r>
    </w:p>
    <w:p>
      <w:r>
        <w:rPr>
          <w:b/>
        </w:rPr>
        <w:t>2. Company Overview</w:t>
      </w:r>
      <w:r>
        <w:t xml:space="preserve">  ..........  6</w:t>
      </w:r>
    </w:p>
    <w:p>
      <w:r>
        <w:rPr>
          <w:b/>
        </w:rPr>
        <w:t>3. Sri Lanka Market Analysis</w:t>
      </w:r>
      <w:r>
        <w:t xml:space="preserve">  ..........  9</w:t>
      </w:r>
    </w:p>
    <w:p>
      <w:r>
        <w:rPr>
          <w:b/>
        </w:rPr>
        <w:t>4. Competitive Landscape</w:t>
      </w:r>
      <w:r>
        <w:t xml:space="preserve">  ..........  13</w:t>
      </w:r>
    </w:p>
    <w:p>
      <w:r>
        <w:rPr>
          <w:b/>
        </w:rPr>
        <w:t>5. Strategic Expansion Opportunities</w:t>
      </w:r>
      <w:r>
        <w:t xml:space="preserve">  ..........  16</w:t>
      </w:r>
    </w:p>
    <w:p>
      <w:r>
        <w:rPr>
          <w:b/>
        </w:rPr>
        <w:t>6. Financial Projections</w:t>
      </w:r>
      <w:r>
        <w:t xml:space="preserve">  ..........  21</w:t>
      </w:r>
    </w:p>
    <w:p>
      <w:r>
        <w:rPr>
          <w:b/>
        </w:rPr>
        <w:t>7. Risk Assessment &amp; Mitigation</w:t>
      </w:r>
      <w:r>
        <w:t xml:space="preserve">  ..........  26</w:t>
      </w:r>
    </w:p>
    <w:p>
      <w:r>
        <w:rPr>
          <w:b/>
        </w:rPr>
        <w:t>8. Investment Structure &amp; Recommendations</w:t>
      </w:r>
      <w:r>
        <w:t xml:space="preserve">  ..........  30</w:t>
      </w:r>
    </w:p>
    <w:p>
      <w:r>
        <w:rPr>
          <w:b/>
        </w:rPr>
        <w:t>9. Appendix: Data Sources &amp; Verification</w:t>
      </w:r>
      <w:r>
        <w:t xml:space="preserve">  ..........  34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pStyle w:val="Heading2"/>
      </w:pPr>
      <w:r>
        <w:t>1.1 Investment Opportunity Overview</w:t>
      </w:r>
    </w:p>
    <w:p>
      <w:r>
        <w:t>FitsAir (FITS Aviation (Pvt) Ltd) represents a compelling investment opportunity in Sri Lanka's recovering aviation market. As the country's second-largest commercial airline, FitsAir operates a focused network connecting South Asia with the Middle East and Southeast Asia, specializing in cargo operations while maintaining selective passenger services. With a fleet of three Airbus A320-family aircraft and established operations from its Colombo hub, the airline offers a differentiated market position with significant untapped expansion potential.</w:t>
      </w:r>
    </w:p>
    <w:p>
      <w:pPr>
        <w:pStyle w:val="Caption"/>
      </w:pPr>
      <w:r>
        <w:t>Source: Wikipedia - FitsAir (https://en.wikipedia.org/wiki/FitsAir)</w:t>
      </w:r>
    </w:p>
    <w:p>
      <w:pPr>
        <w:pStyle w:val="Heading2"/>
      </w:pPr>
      <w:r>
        <w:t>1.2 Key Investment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Current 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(2028)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Growth Potential</w:t>
            </w:r>
          </w:p>
        </w:tc>
      </w:tr>
      <w:tr>
        <w:tc>
          <w:tcPr>
            <w:tcW w:type="dxa" w:w="2160"/>
          </w:tcPr>
          <w:p>
            <w:r>
              <w:t>Fleet Size</w:t>
            </w:r>
          </w:p>
        </w:tc>
        <w:tc>
          <w:tcPr>
            <w:tcW w:type="dxa" w:w="2160"/>
          </w:tcPr>
          <w:p>
            <w:r>
              <w:t>3 aircraft (A320 family)</w:t>
            </w:r>
          </w:p>
        </w:tc>
        <w:tc>
          <w:tcPr>
            <w:tcW w:type="dxa" w:w="2160"/>
          </w:tcPr>
          <w:p>
            <w:r>
              <w:t>6-8 aircraft</w:t>
            </w:r>
          </w:p>
        </w:tc>
        <w:tc>
          <w:tcPr>
            <w:tcW w:type="dxa" w:w="2160"/>
          </w:tcPr>
          <w:p>
            <w:r>
              <w:t>+100-167%</w:t>
            </w:r>
          </w:p>
        </w:tc>
      </w:tr>
      <w:tr>
        <w:tc>
          <w:tcPr>
            <w:tcW w:type="dxa" w:w="2160"/>
          </w:tcPr>
          <w:p>
            <w:r>
              <w:t>Destinations</w:t>
            </w:r>
          </w:p>
        </w:tc>
        <w:tc>
          <w:tcPr>
            <w:tcW w:type="dxa" w:w="2160"/>
          </w:tcPr>
          <w:p>
            <w:r>
              <w:t>5 markets</w:t>
            </w:r>
          </w:p>
        </w:tc>
        <w:tc>
          <w:tcPr>
            <w:tcW w:type="dxa" w:w="2160"/>
          </w:tcPr>
          <w:p>
            <w:r>
              <w:t>12-15 markets</w:t>
            </w:r>
          </w:p>
        </w:tc>
        <w:tc>
          <w:tcPr>
            <w:tcW w:type="dxa" w:w="2160"/>
          </w:tcPr>
          <w:p>
            <w:r>
              <w:t>+140-200%</w:t>
            </w:r>
          </w:p>
        </w:tc>
      </w:tr>
      <w:tr>
        <w:tc>
          <w:tcPr>
            <w:tcW w:type="dxa" w:w="2160"/>
          </w:tcPr>
          <w:p>
            <w:r>
              <w:t>Annual Revenue</w:t>
            </w:r>
          </w:p>
        </w:tc>
        <w:tc>
          <w:tcPr>
            <w:tcW w:type="dxa" w:w="2160"/>
          </w:tcPr>
          <w:p>
            <w:r>
              <w:t>USD 25-30M (est.)</w:t>
            </w:r>
          </w:p>
        </w:tc>
        <w:tc>
          <w:tcPr>
            <w:tcW w:type="dxa" w:w="2160"/>
          </w:tcPr>
          <w:p>
            <w:r>
              <w:t>USD 80-100M</w:t>
            </w:r>
          </w:p>
        </w:tc>
        <w:tc>
          <w:tcPr>
            <w:tcW w:type="dxa" w:w="2160"/>
          </w:tcPr>
          <w:p>
            <w:r>
              <w:t>+220-300%</w:t>
            </w:r>
          </w:p>
        </w:tc>
      </w:tr>
      <w:tr>
        <w:tc>
          <w:tcPr>
            <w:tcW w:type="dxa" w:w="2160"/>
          </w:tcPr>
          <w:p>
            <w:r>
              <w:t>Market Position</w:t>
            </w:r>
          </w:p>
        </w:tc>
        <w:tc>
          <w:tcPr>
            <w:tcW w:type="dxa" w:w="2160"/>
          </w:tcPr>
          <w:p>
            <w:r>
              <w:t>#2 in Sri Lanka</w:t>
            </w:r>
          </w:p>
        </w:tc>
        <w:tc>
          <w:tcPr>
            <w:tcW w:type="dxa" w:w="2160"/>
          </w:tcPr>
          <w:p>
            <w:r>
              <w:t>Regional cargo hub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</w:tr>
      <w:tr>
        <w:tc>
          <w:tcPr>
            <w:tcW w:type="dxa" w:w="2160"/>
          </w:tcPr>
          <w:p>
            <w:r>
              <w:t>Cargo Revenue Share</w:t>
            </w:r>
          </w:p>
        </w:tc>
        <w:tc>
          <w:tcPr>
            <w:tcW w:type="dxa" w:w="2160"/>
          </w:tcPr>
          <w:p>
            <w:r>
              <w:t>~60%</w:t>
            </w:r>
          </w:p>
        </w:tc>
        <w:tc>
          <w:tcPr>
            <w:tcW w:type="dxa" w:w="2160"/>
          </w:tcPr>
          <w:p>
            <w:r>
              <w:t>50-55%</w:t>
            </w:r>
          </w:p>
        </w:tc>
        <w:tc>
          <w:tcPr>
            <w:tcW w:type="dxa" w:w="2160"/>
          </w:tcPr>
          <w:p>
            <w:r>
              <w:t>Diversification</w:t>
            </w:r>
          </w:p>
        </w:tc>
      </w:tr>
      <w:tr>
        <w:tc>
          <w:tcPr>
            <w:tcW w:type="dxa" w:w="2160"/>
          </w:tcPr>
          <w:p>
            <w:r>
              <w:t>Recommended Investment</w:t>
            </w:r>
          </w:p>
        </w:tc>
        <w:tc>
          <w:tcPr>
            <w:tcW w:type="dxa" w:w="2160"/>
          </w:tcPr>
          <w:p>
            <w:r>
              <w:t>USD 50-65M</w:t>
            </w:r>
          </w:p>
        </w:tc>
        <w:tc>
          <w:tcPr>
            <w:tcW w:type="dxa" w:w="2160"/>
          </w:tcPr>
          <w:p>
            <w:r>
              <w:t>3-year phased</w:t>
            </w:r>
          </w:p>
        </w:tc>
        <w:tc>
          <w:tcPr>
            <w:tcW w:type="dxa" w:w="2160"/>
          </w:tcPr>
          <w:p>
            <w:r>
              <w:t>18-25% IRR</w:t>
            </w:r>
          </w:p>
        </w:tc>
      </w:tr>
    </w:tbl>
    <w:p/>
    <w:p>
      <w:pPr>
        <w:pStyle w:val="Heading2"/>
      </w:pPr>
      <w:r>
        <w:t>1.3 Investment Thesis</w:t>
      </w:r>
    </w:p>
    <w:p>
      <w:pPr>
        <w:pStyle w:val="ListBullet"/>
      </w:pPr>
      <w:r>
        <w:rPr>
          <w:b/>
        </w:rPr>
        <w:t>Tourism Recovery:</w:t>
      </w:r>
      <w:r>
        <w:t xml:space="preserve"> Sri Lanka targets 4M+ tourist arrivals by 2026, up from 1.5M in 2023, driving aviation demand. Source: SLTDA (https://sltda.gov.lk)</w:t>
      </w:r>
    </w:p>
    <w:p>
      <w:pPr>
        <w:pStyle w:val="ListBullet"/>
      </w:pPr>
      <w:r>
        <w:rPr>
          <w:b/>
        </w:rPr>
        <w:t>Geographic Advantage:</w:t>
      </w:r>
      <w:r>
        <w:t xml:space="preserve"> Strategic Indian Ocean position offers potential as South Asia-Middle East transit hub.</w:t>
      </w:r>
    </w:p>
    <w:p>
      <w:pPr>
        <w:pStyle w:val="ListBullet"/>
      </w:pPr>
      <w:r>
        <w:rPr>
          <w:b/>
        </w:rPr>
        <w:t>Cargo Market Growth:</w:t>
      </w:r>
      <w:r>
        <w:t xml:space="preserve"> Underserved regional cargo infrastructure creates USD 200-300M addressable opportunity.</w:t>
      </w:r>
    </w:p>
    <w:p>
      <w:pPr>
        <w:pStyle w:val="ListBullet"/>
      </w:pPr>
      <w:r>
        <w:rPr>
          <w:b/>
        </w:rPr>
        <w:t>Economic Stabilization:</w:t>
      </w:r>
      <w:r>
        <w:t xml:space="preserve"> IMF-supported macroeconomic recovery provides 3-4 year investment window. Source: IMF (https://www.imf.org/en/Publications/WEO)</w:t>
      </w:r>
    </w:p>
    <w:p>
      <w:pPr>
        <w:pStyle w:val="ListBullet"/>
      </w:pPr>
      <w:r>
        <w:rPr>
          <w:b/>
        </w:rPr>
        <w:t>Differentiated Positioning:</w:t>
      </w:r>
      <w:r>
        <w:t xml:space="preserve"> Cargo specialization provides defensive revenue base with passenger upside.</w:t>
      </w:r>
    </w:p>
    <w:p>
      <w:r>
        <w:br w:type="page"/>
      </w:r>
    </w:p>
    <w:p>
      <w:pPr>
        <w:pStyle w:val="Heading1"/>
      </w:pPr>
      <w:r>
        <w:t>2. Company Overview</w:t>
      </w:r>
    </w:p>
    <w:p>
      <w:pPr>
        <w:pStyle w:val="Heading2"/>
      </w:pPr>
      <w:r>
        <w:t>2.1 Corporate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Legal Name</w:t>
            </w:r>
          </w:p>
        </w:tc>
        <w:tc>
          <w:tcPr>
            <w:tcW w:type="dxa" w:w="4320"/>
          </w:tcPr>
          <w:p>
            <w:r>
              <w:t>FITS Aviation (Pvt) Limited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Trading As</w:t>
            </w:r>
          </w:p>
        </w:tc>
        <w:tc>
          <w:tcPr>
            <w:tcW w:type="dxa" w:w="4320"/>
          </w:tcPr>
          <w:p>
            <w:r>
              <w:t>FitsAir (formerly ExpoAir)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IATA/ICAO Codes</w:t>
            </w:r>
          </w:p>
        </w:tc>
        <w:tc>
          <w:tcPr>
            <w:tcW w:type="dxa" w:w="4320"/>
          </w:tcPr>
          <w:p>
            <w:r>
              <w:t>8D / EXV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Call Sign</w:t>
            </w:r>
          </w:p>
        </w:tc>
        <w:tc>
          <w:tcPr>
            <w:tcW w:type="dxa" w:w="4320"/>
          </w:tcPr>
          <w:p>
            <w:r>
              <w:t>EXPOAVIA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Founded</w:t>
            </w:r>
          </w:p>
        </w:tc>
        <w:tc>
          <w:tcPr>
            <w:tcW w:type="dxa" w:w="4320"/>
          </w:tcPr>
          <w:p>
            <w:r>
              <w:t>1997 (as Expo Aviation)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Headquarters</w:t>
            </w:r>
          </w:p>
        </w:tc>
        <w:tc>
          <w:tcPr>
            <w:tcW w:type="dxa" w:w="4320"/>
          </w:tcPr>
          <w:p>
            <w:r>
              <w:t>Colombo, Sri Lanka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Company</w:t>
            </w:r>
          </w:p>
        </w:tc>
        <w:tc>
          <w:tcPr>
            <w:tcW w:type="dxa" w:w="4320"/>
          </w:tcPr>
          <w:p>
            <w:r>
              <w:t>Aberdeen Holdings (Pvt) Ltd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Fleet Size</w:t>
            </w:r>
          </w:p>
        </w:tc>
        <w:tc>
          <w:tcPr>
            <w:tcW w:type="dxa" w:w="4320"/>
          </w:tcPr>
          <w:p>
            <w:r>
              <w:t>3 aircraft (Airbus A320 family)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Destinations</w:t>
            </w:r>
          </w:p>
        </w:tc>
        <w:tc>
          <w:tcPr>
            <w:tcW w:type="dxa" w:w="4320"/>
          </w:tcPr>
          <w:p>
            <w:r>
              <w:t>5 scheduled markets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Hubs</w:t>
            </w:r>
          </w:p>
        </w:tc>
        <w:tc>
          <w:tcPr>
            <w:tcW w:type="dxa" w:w="4320"/>
          </w:tcPr>
          <w:p>
            <w:r>
              <w:t>Bandaranaike International Airport (CMB), Ratmalana Airport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Caption"/>
      </w:pPr>
      <w:r>
        <w:t>Source: Wikipedia (https://en.wikipedia.org/wiki/FitsAir); ch-aviation (https://www.ch-aviation.com/airlines/8DF)</w:t>
      </w:r>
    </w:p>
    <w:p>
      <w:pPr>
        <w:pStyle w:val="Heading2"/>
      </w:pPr>
      <w:r>
        <w:t>2.2 Fleet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Aircraft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Configuration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Typical Use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Range</w:t>
            </w:r>
          </w:p>
        </w:tc>
      </w:tr>
      <w:tr>
        <w:tc>
          <w:tcPr>
            <w:tcW w:type="dxa" w:w="1728"/>
          </w:tcPr>
          <w:p>
            <w:r>
              <w:t>A320-200</w:t>
            </w:r>
          </w:p>
        </w:tc>
        <w:tc>
          <w:tcPr>
            <w:tcW w:type="dxa" w:w="1728"/>
          </w:tcPr>
          <w:p>
            <w:r>
              <w:t>Mixed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Regional routes</w:t>
            </w:r>
          </w:p>
        </w:tc>
        <w:tc>
          <w:tcPr>
            <w:tcW w:type="dxa" w:w="1728"/>
          </w:tcPr>
          <w:p>
            <w:r>
              <w:t>3,000 nm</w:t>
            </w:r>
          </w:p>
        </w:tc>
      </w:tr>
      <w:tr>
        <w:tc>
          <w:tcPr>
            <w:tcW w:type="dxa" w:w="1728"/>
          </w:tcPr>
          <w:p>
            <w:r>
              <w:t>A321-200</w:t>
            </w:r>
          </w:p>
        </w:tc>
        <w:tc>
          <w:tcPr>
            <w:tcW w:type="dxa" w:w="1728"/>
          </w:tcPr>
          <w:p>
            <w:r>
              <w:t>Passenger-focused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High-capacity</w:t>
            </w:r>
          </w:p>
        </w:tc>
        <w:tc>
          <w:tcPr>
            <w:tcW w:type="dxa" w:w="1728"/>
          </w:tcPr>
          <w:p>
            <w:r>
              <w:t>4,000 nm</w:t>
            </w:r>
          </w:p>
        </w:tc>
      </w:tr>
      <w:tr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Caption"/>
      </w:pPr>
      <w:r>
        <w:t>Source: ch-aviation (https://www.ch-aviation.com/airlines/8DF)</w:t>
      </w:r>
    </w:p>
    <w:p>
      <w:r>
        <w:br w:type="page"/>
      </w:r>
    </w:p>
    <w:p>
      <w:pPr>
        <w:pStyle w:val="Heading1"/>
      </w:pPr>
      <w:r>
        <w:t>3. Sri Lanka Market Analysis</w:t>
      </w:r>
    </w:p>
    <w:p>
      <w:pPr>
        <w:pStyle w:val="Heading2"/>
      </w:pPr>
      <w:r>
        <w:t>3.1 Macroeconomic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Indicator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2022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2023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2024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Trend</w:t>
            </w:r>
          </w:p>
        </w:tc>
      </w:tr>
      <w:tr>
        <w:tc>
          <w:tcPr>
            <w:tcW w:type="dxa" w:w="1728"/>
          </w:tcPr>
          <w:p>
            <w:r>
              <w:t>GDP (Nominal, USD)</w:t>
            </w:r>
          </w:p>
        </w:tc>
        <w:tc>
          <w:tcPr>
            <w:tcW w:type="dxa" w:w="1728"/>
          </w:tcPr>
          <w:p>
            <w:r>
              <w:t>74.1B</w:t>
            </w:r>
          </w:p>
        </w:tc>
        <w:tc>
          <w:tcPr>
            <w:tcW w:type="dxa" w:w="1728"/>
          </w:tcPr>
          <w:p>
            <w:r>
              <w:t>83.7B</w:t>
            </w:r>
          </w:p>
        </w:tc>
        <w:tc>
          <w:tcPr>
            <w:tcW w:type="dxa" w:w="1728"/>
          </w:tcPr>
          <w:p>
            <w:r>
              <w:t>99.0B</w:t>
            </w:r>
          </w:p>
        </w:tc>
        <w:tc>
          <w:tcPr>
            <w:tcW w:type="dxa" w:w="1728"/>
          </w:tcPr>
          <w:p>
            <w:r>
              <w:t>Recovery</w:t>
            </w:r>
          </w:p>
        </w:tc>
      </w:tr>
      <w:tr>
        <w:tc>
          <w:tcPr>
            <w:tcW w:type="dxa" w:w="1728"/>
          </w:tcPr>
          <w:p>
            <w:r>
              <w:t>GDP Per Capita (USD)</w:t>
            </w:r>
          </w:p>
        </w:tc>
        <w:tc>
          <w:tcPr>
            <w:tcW w:type="dxa" w:w="1728"/>
          </w:tcPr>
          <w:p>
            <w:r>
              <w:t>3,343</w:t>
            </w:r>
          </w:p>
        </w:tc>
        <w:tc>
          <w:tcPr>
            <w:tcW w:type="dxa" w:w="1728"/>
          </w:tcPr>
          <w:p>
            <w:r>
              <w:t>3,799</w:t>
            </w:r>
          </w:p>
        </w:tc>
        <w:tc>
          <w:tcPr>
            <w:tcW w:type="dxa" w:w="1728"/>
          </w:tcPr>
          <w:p>
            <w:r>
              <w:t>4,516</w:t>
            </w:r>
          </w:p>
        </w:tc>
        <w:tc>
          <w:tcPr>
            <w:tcW w:type="dxa" w:w="1728"/>
          </w:tcPr>
          <w:p>
            <w:r>
              <w:t>Improving</w:t>
            </w:r>
          </w:p>
        </w:tc>
      </w:tr>
      <w:tr>
        <w:tc>
          <w:tcPr>
            <w:tcW w:type="dxa" w:w="1728"/>
          </w:tcPr>
          <w:p>
            <w:r>
              <w:t>GDP Growth Rate</w:t>
            </w:r>
          </w:p>
        </w:tc>
        <w:tc>
          <w:tcPr>
            <w:tcW w:type="dxa" w:w="1728"/>
          </w:tcPr>
          <w:p>
            <w:r>
              <w:t>-11.5%</w:t>
            </w:r>
          </w:p>
        </w:tc>
        <w:tc>
          <w:tcPr>
            <w:tcW w:type="dxa" w:w="1728"/>
          </w:tcPr>
          <w:p>
            <w:r>
              <w:t>+2.3%</w:t>
            </w:r>
          </w:p>
        </w:tc>
        <w:tc>
          <w:tcPr>
            <w:tcW w:type="dxa" w:w="1728"/>
          </w:tcPr>
          <w:p>
            <w:r>
              <w:t>+3.2%</w:t>
            </w:r>
          </w:p>
        </w:tc>
        <w:tc>
          <w:tcPr>
            <w:tcW w:type="dxa" w:w="1728"/>
          </w:tcPr>
          <w:p>
            <w:r>
              <w:t>Rebound</w:t>
            </w:r>
          </w:p>
        </w:tc>
      </w:tr>
      <w:tr>
        <w:tc>
          <w:tcPr>
            <w:tcW w:type="dxa" w:w="1728"/>
          </w:tcPr>
          <w:p>
            <w:r>
              <w:t>Inflation Rate</w:t>
            </w:r>
          </w:p>
        </w:tc>
        <w:tc>
          <w:tcPr>
            <w:tcW w:type="dxa" w:w="1728"/>
          </w:tcPr>
          <w:p>
            <w:r>
              <w:t>49.7%</w:t>
            </w:r>
          </w:p>
        </w:tc>
        <w:tc>
          <w:tcPr>
            <w:tcW w:type="dxa" w:w="1728"/>
          </w:tcPr>
          <w:p>
            <w:r>
              <w:t>16.5%</w:t>
            </w:r>
          </w:p>
        </w:tc>
        <w:tc>
          <w:tcPr>
            <w:tcW w:type="dxa" w:w="1728"/>
          </w:tcPr>
          <w:p>
            <w:r>
              <w:t>-0.4%</w:t>
            </w:r>
          </w:p>
        </w:tc>
        <w:tc>
          <w:tcPr>
            <w:tcW w:type="dxa" w:w="1728"/>
          </w:tcPr>
          <w:p>
            <w:r>
              <w:t>Stabilized</w:t>
            </w:r>
          </w:p>
        </w:tc>
      </w:tr>
      <w:tr>
        <w:tc>
          <w:tcPr>
            <w:tcW w:type="dxa" w:w="1728"/>
          </w:tcPr>
          <w:p>
            <w:r>
              <w:t>Exchange Rate (LKR/USD)</w:t>
            </w:r>
          </w:p>
        </w:tc>
        <w:tc>
          <w:tcPr>
            <w:tcW w:type="dxa" w:w="1728"/>
          </w:tcPr>
          <w:p>
            <w:r>
              <w:t>322.6</w:t>
            </w:r>
          </w:p>
        </w:tc>
        <w:tc>
          <w:tcPr>
            <w:tcW w:type="dxa" w:w="1728"/>
          </w:tcPr>
          <w:p>
            <w:r>
              <w:t>327.5</w:t>
            </w:r>
          </w:p>
        </w:tc>
        <w:tc>
          <w:tcPr>
            <w:tcW w:type="dxa" w:w="1728"/>
          </w:tcPr>
          <w:p>
            <w:r>
              <w:t>320</w:t>
            </w:r>
          </w:p>
        </w:tc>
        <w:tc>
          <w:tcPr>
            <w:tcW w:type="dxa" w:w="1728"/>
          </w:tcPr>
          <w:p>
            <w:r>
              <w:t>Stable</w:t>
            </w:r>
          </w:p>
        </w:tc>
      </w:tr>
      <w:tr>
        <w:tc>
          <w:tcPr>
            <w:tcW w:type="dxa" w:w="1728"/>
          </w:tcPr>
          <w:p>
            <w:r>
              <w:t>Unemployment Rate</w:t>
            </w:r>
          </w:p>
        </w:tc>
        <w:tc>
          <w:tcPr>
            <w:tcW w:type="dxa" w:w="1728"/>
          </w:tcPr>
          <w:p>
            <w:r>
              <w:t>4.5%</w:t>
            </w:r>
          </w:p>
        </w:tc>
        <w:tc>
          <w:tcPr>
            <w:tcW w:type="dxa" w:w="1728"/>
          </w:tcPr>
          <w:p>
            <w:r>
              <w:t>4.5%</w:t>
            </w:r>
          </w:p>
        </w:tc>
        <w:tc>
          <w:tcPr>
            <w:tcW w:type="dxa" w:w="1728"/>
          </w:tcPr>
          <w:p>
            <w:r>
              <w:t>4.2%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  <w:tr>
        <w:tc>
          <w:tcPr>
            <w:tcW w:type="dxa" w:w="1728"/>
          </w:tcPr>
          <w:p>
            <w:r>
              <w:t>Population (M)</w:t>
            </w:r>
          </w:p>
        </w:tc>
        <w:tc>
          <w:tcPr>
            <w:tcW w:type="dxa" w:w="1728"/>
          </w:tcPr>
          <w:p>
            <w:r>
              <w:t>22.2</w:t>
            </w:r>
          </w:p>
        </w:tc>
        <w:tc>
          <w:tcPr>
            <w:tcW w:type="dxa" w:w="1728"/>
          </w:tcPr>
          <w:p>
            <w:r>
              <w:t>22.0</w:t>
            </w:r>
          </w:p>
        </w:tc>
        <w:tc>
          <w:tcPr>
            <w:tcW w:type="dxa" w:w="1728"/>
          </w:tcPr>
          <w:p>
            <w:r>
              <w:t>21.9</w:t>
            </w:r>
          </w:p>
        </w:tc>
        <w:tc>
          <w:tcPr>
            <w:tcW w:type="dxa" w:w="1728"/>
          </w:tcPr>
          <w:p>
            <w:r>
              <w:t>Stable</w:t>
            </w:r>
          </w:p>
        </w:tc>
      </w:tr>
      <w:tr>
        <w:tc>
          <w:tcPr>
            <w:tcW w:type="dxa" w:w="1728"/>
          </w:tcPr>
          <w:p>
            <w:r>
              <w:t>Services Sector (%)</w:t>
            </w:r>
          </w:p>
        </w:tc>
        <w:tc>
          <w:tcPr>
            <w:tcW w:type="dxa" w:w="1728"/>
          </w:tcPr>
          <w:p>
            <w:r>
              <w:t>68.7%</w:t>
            </w:r>
          </w:p>
        </w:tc>
        <w:tc>
          <w:tcPr>
            <w:tcW w:type="dxa" w:w="1728"/>
          </w:tcPr>
          <w:p>
            <w:r>
              <w:t>68.5%</w:t>
            </w:r>
          </w:p>
        </w:tc>
        <w:tc>
          <w:tcPr>
            <w:tcW w:type="dxa" w:w="1728"/>
          </w:tcPr>
          <w:p>
            <w:r>
              <w:t>68.7%</w:t>
            </w:r>
          </w:p>
        </w:tc>
        <w:tc>
          <w:tcPr>
            <w:tcW w:type="dxa" w:w="1728"/>
          </w:tcPr>
          <w:p>
            <w:r>
              <w:t>Leading</w:t>
            </w:r>
          </w:p>
        </w:tc>
      </w:tr>
    </w:tbl>
    <w:p>
      <w:pPr>
        <w:pStyle w:val="Caption"/>
      </w:pPr>
      <w:r>
        <w:t>Sources: World Bank Open Data API (https://data.worldbank.org); IMF World Economic Database (https://www.imf.org/en/Publications/WEO)</w:t>
      </w:r>
    </w:p>
    <w:p>
      <w:pPr>
        <w:pStyle w:val="Heading2"/>
      </w:pPr>
      <w:r>
        <w:t>3.2 Tourism Sector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2019 (Peak)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2023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2024 (Est.)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2026 (Target)</w:t>
            </w:r>
          </w:p>
        </w:tc>
      </w:tr>
      <w:tr>
        <w:tc>
          <w:tcPr>
            <w:tcW w:type="dxa" w:w="1728"/>
          </w:tcPr>
          <w:p>
            <w:r>
              <w:t>Tourist Arrivals</w:t>
            </w:r>
          </w:p>
        </w:tc>
        <w:tc>
          <w:tcPr>
            <w:tcW w:type="dxa" w:w="1728"/>
          </w:tcPr>
          <w:p>
            <w:r>
              <w:t>1.9M</w:t>
            </w:r>
          </w:p>
        </w:tc>
        <w:tc>
          <w:tcPr>
            <w:tcW w:type="dxa" w:w="1728"/>
          </w:tcPr>
          <w:p>
            <w:r>
              <w:t>1.5M</w:t>
            </w:r>
          </w:p>
        </w:tc>
        <w:tc>
          <w:tcPr>
            <w:tcW w:type="dxa" w:w="1728"/>
          </w:tcPr>
          <w:p>
            <w:r>
              <w:t>2.0-2.2M</w:t>
            </w:r>
          </w:p>
        </w:tc>
        <w:tc>
          <w:tcPr>
            <w:tcW w:type="dxa" w:w="1728"/>
          </w:tcPr>
          <w:p>
            <w:r>
              <w:t>4.0M+</w:t>
            </w:r>
          </w:p>
        </w:tc>
      </w:tr>
      <w:tr>
        <w:tc>
          <w:tcPr>
            <w:tcW w:type="dxa" w:w="1728"/>
          </w:tcPr>
          <w:p>
            <w:r>
              <w:t>Tourism Revenue</w:t>
            </w:r>
          </w:p>
        </w:tc>
        <w:tc>
          <w:tcPr>
            <w:tcW w:type="dxa" w:w="1728"/>
          </w:tcPr>
          <w:p>
            <w:r>
              <w:t>USD 3.6B</w:t>
            </w:r>
          </w:p>
        </w:tc>
        <w:tc>
          <w:tcPr>
            <w:tcW w:type="dxa" w:w="1728"/>
          </w:tcPr>
          <w:p>
            <w:r>
              <w:t>USD 2.5B</w:t>
            </w:r>
          </w:p>
        </w:tc>
        <w:tc>
          <w:tcPr>
            <w:tcW w:type="dxa" w:w="1728"/>
          </w:tcPr>
          <w:p>
            <w:r>
              <w:t>USD 3.5B</w:t>
            </w:r>
          </w:p>
        </w:tc>
        <w:tc>
          <w:tcPr>
            <w:tcW w:type="dxa" w:w="1728"/>
          </w:tcPr>
          <w:p>
            <w:r>
              <w:t>USD 6B+</w:t>
            </w:r>
          </w:p>
        </w:tc>
      </w:tr>
      <w:tr>
        <w:tc>
          <w:tcPr>
            <w:tcW w:type="dxa" w:w="1728"/>
          </w:tcPr>
          <w:p>
            <w:r>
              <w:t>Direct Employment</w:t>
            </w:r>
          </w:p>
        </w:tc>
        <w:tc>
          <w:tcPr>
            <w:tcW w:type="dxa" w:w="1728"/>
          </w:tcPr>
          <w:p>
            <w:r>
              <w:t>~400K</w:t>
            </w:r>
          </w:p>
        </w:tc>
        <w:tc>
          <w:tcPr>
            <w:tcW w:type="dxa" w:w="1728"/>
          </w:tcPr>
          <w:p>
            <w:r>
              <w:t>~300K</w:t>
            </w:r>
          </w:p>
        </w:tc>
        <w:tc>
          <w:tcPr>
            <w:tcW w:type="dxa" w:w="1728"/>
          </w:tcPr>
          <w:p>
            <w:r>
              <w:t>~400K</w:t>
            </w:r>
          </w:p>
        </w:tc>
        <w:tc>
          <w:tcPr>
            <w:tcW w:type="dxa" w:w="1728"/>
          </w:tcPr>
          <w:p>
            <w:r>
              <w:t>~800K</w:t>
            </w:r>
          </w:p>
        </w:tc>
      </w:tr>
      <w:tr>
        <w:tc>
          <w:tcPr>
            <w:tcW w:type="dxa" w:w="1728"/>
          </w:tcPr>
          <w:p>
            <w:r>
              <w:t>Avg. Stay Duration</w:t>
            </w:r>
          </w:p>
        </w:tc>
        <w:tc>
          <w:tcPr>
            <w:tcW w:type="dxa" w:w="1728"/>
          </w:tcPr>
          <w:p>
            <w:r>
              <w:t>10 nights</w:t>
            </w:r>
          </w:p>
        </w:tc>
        <w:tc>
          <w:tcPr>
            <w:tcW w:type="dxa" w:w="1728"/>
          </w:tcPr>
          <w:p>
            <w:r>
              <w:t>10 nights</w:t>
            </w:r>
          </w:p>
        </w:tc>
        <w:tc>
          <w:tcPr>
            <w:tcW w:type="dxa" w:w="1728"/>
          </w:tcPr>
          <w:p>
            <w:r>
              <w:t>10 nights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>
      <w:pPr>
        <w:pStyle w:val="Caption"/>
      </w:pPr>
      <w:r>
        <w:t>Sources: SLTDA (https://sltda.gov.lk); WTTC (https://wttc.org)</w:t>
      </w:r>
    </w:p>
    <w:p>
      <w:r>
        <w:br w:type="page"/>
      </w:r>
    </w:p>
    <w:p>
      <w:pPr>
        <w:pStyle w:val="Heading1"/>
      </w:pPr>
      <w:r>
        <w:t>4. Competitive Landscape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Carrier 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Players</w:t>
            </w:r>
          </w:p>
        </w:tc>
      </w:tr>
      <w:tr>
        <w:tc>
          <w:tcPr>
            <w:tcW w:type="dxa" w:w="2880"/>
          </w:tcPr>
          <w:p>
            <w:r>
              <w:t>SriLankan Airlines</w:t>
            </w:r>
          </w:p>
        </w:tc>
        <w:tc>
          <w:tcPr>
            <w:tcW w:type="dxa" w:w="2880"/>
          </w:tcPr>
          <w:p>
            <w:r>
              <w:t>~45%</w:t>
            </w:r>
          </w:p>
        </w:tc>
        <w:tc>
          <w:tcPr>
            <w:tcW w:type="dxa" w:w="2880"/>
          </w:tcPr>
          <w:p>
            <w:r>
              <w:t>State-owned; Oneworld member; 27 aircraft</w:t>
            </w:r>
          </w:p>
        </w:tc>
      </w:tr>
      <w:tr>
        <w:tc>
          <w:tcPr>
            <w:tcW w:type="dxa" w:w="2880"/>
          </w:tcPr>
          <w:p>
            <w:r>
              <w:t>Foreign Carriers</w:t>
            </w:r>
          </w:p>
        </w:tc>
        <w:tc>
          <w:tcPr>
            <w:tcW w:type="dxa" w:w="2880"/>
          </w:tcPr>
          <w:p>
            <w:r>
              <w:t>~50%</w:t>
            </w:r>
          </w:p>
        </w:tc>
        <w:tc>
          <w:tcPr>
            <w:tcW w:type="dxa" w:w="2880"/>
          </w:tcPr>
          <w:p>
            <w:r>
              <w:t>Emirates, Qatar Airways, Singapore, Air India</w:t>
            </w:r>
          </w:p>
        </w:tc>
      </w:tr>
      <w:tr>
        <w:tc>
          <w:tcPr>
            <w:tcW w:type="dxa" w:w="2880"/>
          </w:tcPr>
          <w:p>
            <w:r>
              <w:t>FitsAir &amp; Others</w:t>
            </w:r>
          </w:p>
        </w:tc>
        <w:tc>
          <w:tcPr>
            <w:tcW w:type="dxa" w:w="2880"/>
          </w:tcPr>
          <w:p>
            <w:r>
              <w:t>~5%</w:t>
            </w:r>
          </w:p>
        </w:tc>
        <w:tc>
          <w:tcPr>
            <w:tcW w:type="dxa" w:w="2880"/>
          </w:tcPr>
          <w:p>
            <w:r>
              <w:t>FitsAir, occasional charter operators</w:t>
            </w:r>
          </w:p>
        </w:tc>
      </w:tr>
    </w:tbl>
    <w:p>
      <w:pPr>
        <w:pStyle w:val="Caption"/>
      </w:pPr>
      <w:r>
        <w:t>Source: OAG Schedules (https://www.oag.com); Cirium (https://cirium.com)</w:t>
      </w:r>
    </w:p>
    <w:p>
      <w:r>
        <w:br w:type="page"/>
      </w:r>
    </w:p>
    <w:p>
      <w:pPr>
        <w:pStyle w:val="Heading1"/>
      </w:pPr>
      <w:r>
        <w:t>5. Strategic Expansion Opportunities</w:t>
      </w:r>
    </w:p>
    <w:p>
      <w:pPr>
        <w:pStyle w:val="Heading2"/>
      </w:pPr>
      <w:r>
        <w:t>TIER 1: HIGH PRIORITY (Years 1-2)</w:t>
      </w:r>
    </w:p>
    <w:p>
      <w:pPr>
        <w:pStyle w:val="Heading3"/>
      </w:pPr>
      <w:r>
        <w:t>5.1 Cargo Operations Expansion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Market Size</w:t>
            </w:r>
          </w:p>
        </w:tc>
        <w:tc>
          <w:tcPr>
            <w:tcW w:type="dxa" w:w="4320"/>
          </w:tcPr>
          <w:p>
            <w:r>
              <w:t>USD 200-300M addressable market in South Asia air cargo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Growth Drivers</w:t>
            </w:r>
          </w:p>
        </w:tc>
        <w:tc>
          <w:tcPr>
            <w:tcW w:type="dxa" w:w="4320"/>
          </w:tcPr>
          <w:p>
            <w:r>
              <w:t>E-commerce expansion, pharmaceutical logistics, export growth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Sri Lanka Position</w:t>
            </w:r>
          </w:p>
        </w:tc>
        <w:tc>
          <w:tcPr>
            <w:tcW w:type="dxa" w:w="4320"/>
          </w:tcPr>
          <w:p>
            <w:r>
              <w:t>Underleveraged hub; strategic Indian Ocean location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FitsAir Advantage</w:t>
            </w:r>
          </w:p>
        </w:tc>
        <w:tc>
          <w:tcPr>
            <w:tcW w:type="dxa" w:w="4320"/>
          </w:tcPr>
          <w:p>
            <w:r>
              <w:t>Established cargo operations, existing aircraft, forwarder relationships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Investment Required</w:t>
            </w:r>
          </w:p>
        </w:tc>
        <w:tc>
          <w:tcPr>
            <w:tcW w:type="dxa" w:w="4320"/>
          </w:tcPr>
          <w:p>
            <w:r>
              <w:t>USD 15-25M (cargo-configured aircraft, partnerships)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Returns</w:t>
            </w:r>
          </w:p>
        </w:tc>
        <w:tc>
          <w:tcPr>
            <w:tcW w:type="dxa" w:w="4320"/>
          </w:tcPr>
          <w:p>
            <w:r>
              <w:t>Revenue uplift USD 15-25M annually; IRR 20-25%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Risk Level</w:t>
            </w:r>
          </w:p>
        </w:tc>
        <w:tc>
          <w:tcPr>
            <w:tcW w:type="dxa" w:w="4320"/>
          </w:tcPr>
          <w:p>
            <w:r>
              <w:t>Medium - Competition from integrators (DHL, FedEx, UPS)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3"/>
      </w:pPr>
      <w:r>
        <w:t>5.2 Maldives Charter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Market Size</w:t>
            </w:r>
          </w:p>
        </w:tc>
        <w:tc>
          <w:tcPr>
            <w:tcW w:type="dxa" w:w="4320"/>
          </w:tcPr>
          <w:p>
            <w:r>
              <w:t>Maldives: 1.8M arrivals (2023), growing to 2.5M+ by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Opportunity</w:t>
            </w:r>
          </w:p>
        </w:tc>
        <w:tc>
          <w:tcPr>
            <w:tcW w:type="dxa" w:w="4320"/>
          </w:tcPr>
          <w:p>
            <w:r>
              <w:t>High-season charter (Nov-Apr); yields 40-60% above scheduled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 Markets</w:t>
            </w:r>
          </w:p>
        </w:tc>
        <w:tc>
          <w:tcPr>
            <w:tcW w:type="dxa" w:w="4320"/>
          </w:tcPr>
          <w:p>
            <w:r>
              <w:t>Russia, UK, Germany, Italy, France (resort visitors)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FitsAir Advantage</w:t>
            </w:r>
          </w:p>
        </w:tc>
        <w:tc>
          <w:tcPr>
            <w:tcW w:type="dxa" w:w="4320"/>
          </w:tcPr>
          <w:p>
            <w:r>
              <w:t>Existing Malé operations, established resort relationships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Investment Required</w:t>
            </w:r>
          </w:p>
        </w:tc>
        <w:tc>
          <w:tcPr>
            <w:tcW w:type="dxa" w:w="4320"/>
          </w:tcPr>
          <w:p>
            <w:r>
              <w:t>USD 5-10M (seasonal capacity, marketing, partnerships)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Returns</w:t>
            </w:r>
          </w:p>
        </w:tc>
        <w:tc>
          <w:tcPr>
            <w:tcW w:type="dxa" w:w="4320"/>
          </w:tcPr>
          <w:p>
            <w:r>
              <w:t>Seasonal revenue USD 20-30M; margin improvement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Risk Level</w:t>
            </w:r>
          </w:p>
        </w:tc>
        <w:tc>
          <w:tcPr>
            <w:tcW w:type="dxa" w:w="4320"/>
          </w:tcPr>
          <w:p>
            <w:r>
              <w:t>Low-Medium - Tourism seasonality, wet-lease availability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br w:type="page"/>
      </w:r>
    </w:p>
    <w:p>
      <w:pPr>
        <w:pStyle w:val="Heading1"/>
      </w:pPr>
      <w:r>
        <w:t>6. Financial Projections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Revenue Stream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Year 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Year 2</w:t>
            </w:r>
          </w:p>
        </w:tc>
        <w:tc>
          <w:tcPr>
            <w:tcW w:type="dxa" w:w="1440"/>
          </w:tcPr>
          <w:p>
            <w:r>
              <w:rPr>
                <w:b/>
              </w:rPr>
              <w:t>Year 3</w:t>
            </w:r>
          </w:p>
        </w:tc>
        <w:tc>
          <w:tcPr>
            <w:tcW w:type="dxa" w:w="1440"/>
          </w:tcPr>
          <w:p>
            <w:r>
              <w:rPr>
                <w:b/>
              </w:rPr>
              <w:t>Year 4</w:t>
            </w:r>
          </w:p>
        </w:tc>
        <w:tc>
          <w:tcPr>
            <w:tcW w:type="dxa" w:w="1440"/>
          </w:tcPr>
          <w:p>
            <w:r>
              <w:rPr>
                <w:b/>
              </w:rPr>
              <w:t>Year 5</w:t>
            </w:r>
          </w:p>
        </w:tc>
      </w:tr>
      <w:tr>
        <w:tc>
          <w:tcPr>
            <w:tcW w:type="dxa" w:w="1440"/>
          </w:tcPr>
          <w:p>
            <w:r>
              <w:t>Cargo Operations</w:t>
            </w:r>
          </w:p>
        </w:tc>
        <w:tc>
          <w:tcPr>
            <w:tcW w:type="dxa" w:w="1440"/>
          </w:tcPr>
          <w:p>
            <w:r>
              <w:t>60%</w:t>
            </w:r>
          </w:p>
        </w:tc>
        <w:tc>
          <w:tcPr>
            <w:tcW w:type="dxa" w:w="1440"/>
          </w:tcPr>
          <w:p>
            <w:r>
              <w:t>58%</w:t>
            </w:r>
          </w:p>
        </w:tc>
        <w:tc>
          <w:tcPr>
            <w:tcW w:type="dxa" w:w="1440"/>
          </w:tcPr>
          <w:p>
            <w:r>
              <w:t>52%</w:t>
            </w:r>
          </w:p>
        </w:tc>
        <w:tc>
          <w:tcPr>
            <w:tcW w:type="dxa" w:w="1440"/>
          </w:tcPr>
          <w:p>
            <w:r>
              <w:t>48%</w:t>
            </w:r>
          </w:p>
        </w:tc>
        <w:tc>
          <w:tcPr>
            <w:tcW w:type="dxa" w:w="1440"/>
          </w:tcPr>
          <w:p>
            <w:r>
              <w:t>45%</w:t>
            </w:r>
          </w:p>
        </w:tc>
      </w:tr>
      <w:tr>
        <w:tc>
          <w:tcPr>
            <w:tcW w:type="dxa" w:w="1440"/>
          </w:tcPr>
          <w:p>
            <w:r>
              <w:t>Passenger Scheduled</w:t>
            </w:r>
          </w:p>
        </w:tc>
        <w:tc>
          <w:tcPr>
            <w:tcW w:type="dxa" w:w="1440"/>
          </w:tcPr>
          <w:p>
            <w:r>
              <w:t>25%</w:t>
            </w:r>
          </w:p>
        </w:tc>
        <w:tc>
          <w:tcPr>
            <w:tcW w:type="dxa" w:w="1440"/>
          </w:tcPr>
          <w:p>
            <w:r>
              <w:t>27%</w:t>
            </w:r>
          </w:p>
        </w:tc>
        <w:tc>
          <w:tcPr>
            <w:tcW w:type="dxa" w:w="1440"/>
          </w:tcPr>
          <w:p>
            <w:r>
              <w:t>30%</w:t>
            </w:r>
          </w:p>
        </w:tc>
        <w:tc>
          <w:tcPr>
            <w:tcW w:type="dxa" w:w="1440"/>
          </w:tcPr>
          <w:p>
            <w:r>
              <w:t>32%</w:t>
            </w:r>
          </w:p>
        </w:tc>
        <w:tc>
          <w:tcPr>
            <w:tcW w:type="dxa" w:w="1440"/>
          </w:tcPr>
          <w:p>
            <w:r>
              <w:t>35%</w:t>
            </w:r>
          </w:p>
        </w:tc>
      </w:tr>
      <w:tr>
        <w:tc>
          <w:tcPr>
            <w:tcW w:type="dxa" w:w="1440"/>
          </w:tcPr>
          <w:p>
            <w:r>
              <w:t>Charter Operations</w:t>
            </w:r>
          </w:p>
        </w:tc>
        <w:tc>
          <w:tcPr>
            <w:tcW w:type="dxa" w:w="1440"/>
          </w:tcPr>
          <w:p>
            <w:r>
              <w:t>10%</w:t>
            </w:r>
          </w:p>
        </w:tc>
        <w:tc>
          <w:tcPr>
            <w:tcW w:type="dxa" w:w="1440"/>
          </w:tcPr>
          <w:p>
            <w:r>
              <w:t>10%</w:t>
            </w:r>
          </w:p>
        </w:tc>
        <w:tc>
          <w:tcPr>
            <w:tcW w:type="dxa" w:w="1440"/>
          </w:tcPr>
          <w:p>
            <w:r>
              <w:t>12%</w:t>
            </w:r>
          </w:p>
        </w:tc>
        <w:tc>
          <w:tcPr>
            <w:tcW w:type="dxa" w:w="1440"/>
          </w:tcPr>
          <w:p>
            <w:r>
              <w:t>14%</w:t>
            </w:r>
          </w:p>
        </w:tc>
        <w:tc>
          <w:tcPr>
            <w:tcW w:type="dxa" w:w="1440"/>
          </w:tcPr>
          <w:p>
            <w:r>
              <w:t>12%</w:t>
            </w:r>
          </w:p>
        </w:tc>
      </w:tr>
      <w:tr>
        <w:tc>
          <w:tcPr>
            <w:tcW w:type="dxa" w:w="1440"/>
          </w:tcPr>
          <w:p>
            <w:r>
              <w:t>Other (incidental)</w:t>
            </w:r>
          </w:p>
        </w:tc>
        <w:tc>
          <w:tcPr>
            <w:tcW w:type="dxa" w:w="1440"/>
          </w:tcPr>
          <w:p>
            <w:r>
              <w:t>5%</w:t>
            </w:r>
          </w:p>
        </w:tc>
        <w:tc>
          <w:tcPr>
            <w:tcW w:type="dxa" w:w="1440"/>
          </w:tcPr>
          <w:p>
            <w:r>
              <w:t>5%</w:t>
            </w:r>
          </w:p>
        </w:tc>
        <w:tc>
          <w:tcPr>
            <w:tcW w:type="dxa" w:w="1440"/>
          </w:tcPr>
          <w:p>
            <w:r>
              <w:t>6%</w:t>
            </w:r>
          </w:p>
        </w:tc>
        <w:tc>
          <w:tcPr>
            <w:tcW w:type="dxa" w:w="1440"/>
          </w:tcPr>
          <w:p>
            <w:r>
              <w:t>6%</w:t>
            </w:r>
          </w:p>
        </w:tc>
        <w:tc>
          <w:tcPr>
            <w:tcW w:type="dxa" w:w="1440"/>
          </w:tcPr>
          <w:p>
            <w:r>
              <w:t>8%</w:t>
            </w:r>
          </w:p>
        </w:tc>
      </w:tr>
      <w:tr>
        <w:tc>
          <w:tcPr>
            <w:tcW w:type="dxa" w:w="1440"/>
          </w:tcPr>
          <w:p>
            <w:r>
              <w:t>Total Revenue (USD M)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70</w:t>
            </w:r>
          </w:p>
        </w:tc>
        <w:tc>
          <w:tcPr>
            <w:tcW w:type="dxa" w:w="1440"/>
          </w:tcPr>
          <w:p>
            <w:r>
              <w:t>90</w:t>
            </w:r>
          </w:p>
        </w:tc>
      </w:tr>
      <w:tr>
        <w:tc>
          <w:tcPr>
            <w:tcW w:type="dxa" w:w="1440"/>
          </w:tcPr>
          <w:p>
            <w:r>
              <w:t>YoY Growth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+43%</w:t>
            </w:r>
          </w:p>
        </w:tc>
        <w:tc>
          <w:tcPr>
            <w:tcW w:type="dxa" w:w="1440"/>
          </w:tcPr>
          <w:p>
            <w:r>
              <w:t>+38%</w:t>
            </w:r>
          </w:p>
        </w:tc>
        <w:tc>
          <w:tcPr>
            <w:tcW w:type="dxa" w:w="1440"/>
          </w:tcPr>
          <w:p>
            <w:r>
              <w:t>+27%</w:t>
            </w:r>
          </w:p>
        </w:tc>
        <w:tc>
          <w:tcPr>
            <w:tcW w:type="dxa" w:w="1440"/>
          </w:tcPr>
          <w:p>
            <w:r>
              <w:t>+29%</w:t>
            </w:r>
          </w:p>
        </w:tc>
      </w:tr>
    </w:tbl>
    <w:p>
      <w:pPr>
        <w:pStyle w:val="Heading2"/>
      </w:pPr>
      <w:r>
        <w:t>6.1 Return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Investment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Year 5 Revenue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IRR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Payback</w:t>
            </w:r>
          </w:p>
        </w:tc>
      </w:tr>
      <w:tr>
        <w:tc>
          <w:tcPr>
            <w:tcW w:type="dxa" w:w="1728"/>
          </w:tcPr>
          <w:p>
            <w:r>
              <w:t>Conservative</w:t>
            </w:r>
          </w:p>
        </w:tc>
        <w:tc>
          <w:tcPr>
            <w:tcW w:type="dxa" w:w="1728"/>
          </w:tcPr>
          <w:p>
            <w:r>
              <w:t>USD 50M</w:t>
            </w:r>
          </w:p>
        </w:tc>
        <w:tc>
          <w:tcPr>
            <w:tcW w:type="dxa" w:w="1728"/>
          </w:tcPr>
          <w:p>
            <w:r>
              <w:t>USD 70M</w:t>
            </w:r>
          </w:p>
        </w:tc>
        <w:tc>
          <w:tcPr>
            <w:tcW w:type="dxa" w:w="1728"/>
          </w:tcPr>
          <w:p>
            <w:r>
              <w:t>12-15%</w:t>
            </w:r>
          </w:p>
        </w:tc>
        <w:tc>
          <w:tcPr>
            <w:tcW w:type="dxa" w:w="1728"/>
          </w:tcPr>
          <w:p>
            <w:r>
              <w:t>4-5 years</w:t>
            </w:r>
          </w:p>
        </w:tc>
      </w:tr>
      <w:tr>
        <w:tc>
          <w:tcPr>
            <w:tcW w:type="dxa" w:w="1728"/>
          </w:tcPr>
          <w:p>
            <w:r>
              <w:t>Base Case</w:t>
            </w:r>
          </w:p>
        </w:tc>
        <w:tc>
          <w:tcPr>
            <w:tcW w:type="dxa" w:w="1728"/>
          </w:tcPr>
          <w:p>
            <w:r>
              <w:t>USD 55M</w:t>
            </w:r>
          </w:p>
        </w:tc>
        <w:tc>
          <w:tcPr>
            <w:tcW w:type="dxa" w:w="1728"/>
          </w:tcPr>
          <w:p>
            <w:r>
              <w:t>USD 85M</w:t>
            </w:r>
          </w:p>
        </w:tc>
        <w:tc>
          <w:tcPr>
            <w:tcW w:type="dxa" w:w="1728"/>
          </w:tcPr>
          <w:p>
            <w:r>
              <w:t>18-22%</w:t>
            </w:r>
          </w:p>
        </w:tc>
        <w:tc>
          <w:tcPr>
            <w:tcW w:type="dxa" w:w="1728"/>
          </w:tcPr>
          <w:p>
            <w:r>
              <w:t>3-4 years</w:t>
            </w:r>
          </w:p>
        </w:tc>
      </w:tr>
      <w:tr>
        <w:tc>
          <w:tcPr>
            <w:tcW w:type="dxa" w:w="1728"/>
          </w:tcPr>
          <w:p>
            <w:r>
              <w:t>Optimistic</w:t>
            </w:r>
          </w:p>
        </w:tc>
        <w:tc>
          <w:tcPr>
            <w:tcW w:type="dxa" w:w="1728"/>
          </w:tcPr>
          <w:p>
            <w:r>
              <w:t>USD 65M</w:t>
            </w:r>
          </w:p>
        </w:tc>
        <w:tc>
          <w:tcPr>
            <w:tcW w:type="dxa" w:w="1728"/>
          </w:tcPr>
          <w:p>
            <w:r>
              <w:t>USD 100M+</w:t>
            </w:r>
          </w:p>
        </w:tc>
        <w:tc>
          <w:tcPr>
            <w:tcW w:type="dxa" w:w="1728"/>
          </w:tcPr>
          <w:p>
            <w:r>
              <w:t>25%+</w:t>
            </w:r>
          </w:p>
        </w:tc>
        <w:tc>
          <w:tcPr>
            <w:tcW w:type="dxa" w:w="1728"/>
          </w:tcPr>
          <w:p>
            <w:r>
              <w:t>2-3 years</w:t>
            </w:r>
          </w:p>
        </w:tc>
      </w:tr>
    </w:tbl>
    <w:p>
      <w:r>
        <w:br w:type="page"/>
      </w:r>
    </w:p>
    <w:p>
      <w:pPr>
        <w:pStyle w:val="Heading1"/>
      </w:pPr>
      <w:r>
        <w:t>7. Risk Assessment &amp; Mitigation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Risk 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Probability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Mitigation Strategy</w:t>
            </w:r>
          </w:p>
        </w:tc>
      </w:tr>
      <w:tr>
        <w:tc>
          <w:tcPr>
            <w:tcW w:type="dxa" w:w="2160"/>
          </w:tcPr>
          <w:p>
            <w:r>
              <w:t>Macroeconomic Volatility</w:t>
            </w:r>
          </w:p>
        </w:tc>
        <w:tc>
          <w:tcPr>
            <w:tcW w:type="dxa" w:w="2160"/>
          </w:tcPr>
          <w:p>
            <w:r>
              <w:t>Medium (35%)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IMF stabilization window, phased investment</w:t>
            </w:r>
          </w:p>
        </w:tc>
      </w:tr>
      <w:tr>
        <w:tc>
          <w:tcPr>
            <w:tcW w:type="dxa" w:w="2160"/>
          </w:tcPr>
          <w:p>
            <w:r>
              <w:t>Currency Fluctuation</w:t>
            </w:r>
          </w:p>
        </w:tc>
        <w:tc>
          <w:tcPr>
            <w:tcW w:type="dxa" w:w="2160"/>
          </w:tcPr>
          <w:p>
            <w:r>
              <w:t>Medium (40%)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USD revenue focus, hedging, cost localization</w:t>
            </w:r>
          </w:p>
        </w:tc>
      </w:tr>
      <w:tr>
        <w:tc>
          <w:tcPr>
            <w:tcW w:type="dxa" w:w="2160"/>
          </w:tcPr>
          <w:p>
            <w:r>
              <w:t>Fuel Price Volatility</w:t>
            </w:r>
          </w:p>
        </w:tc>
        <w:tc>
          <w:tcPr>
            <w:tcW w:type="dxa" w:w="2160"/>
          </w:tcPr>
          <w:p>
            <w:r>
              <w:t>Medium (40%)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Fuel surcharges, efficient aircraft, hedging</w:t>
            </w:r>
          </w:p>
        </w:tc>
      </w:tr>
      <w:tr>
        <w:tc>
          <w:tcPr>
            <w:tcW w:type="dxa" w:w="2160"/>
          </w:tcPr>
          <w:p>
            <w:r>
              <w:t>Competition Intensification</w:t>
            </w:r>
          </w:p>
        </w:tc>
        <w:tc>
          <w:tcPr>
            <w:tcW w:type="dxa" w:w="2160"/>
          </w:tcPr>
          <w:p>
            <w:r>
              <w:t>High (60%)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Cargo focus, niche routes, differentiation</w:t>
            </w:r>
          </w:p>
        </w:tc>
      </w:tr>
      <w:tr>
        <w:tc>
          <w:tcPr>
            <w:tcW w:type="dxa" w:w="2160"/>
          </w:tcPr>
          <w:p>
            <w:r>
              <w:t>Regulatory Changes</w:t>
            </w:r>
          </w:p>
        </w:tc>
        <w:tc>
          <w:tcPr>
            <w:tcW w:type="dxa" w:w="2160"/>
          </w:tcPr>
          <w:p>
            <w:r>
              <w:t>Low-Medium (20%)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Government relations, compliance investment</w:t>
            </w:r>
          </w:p>
        </w:tc>
      </w:tr>
      <w:tr>
        <w:tc>
          <w:tcPr>
            <w:tcW w:type="dxa" w:w="2160"/>
          </w:tcPr>
          <w:p>
            <w:r>
              <w:t>Operational Safety</w:t>
            </w:r>
          </w:p>
        </w:tc>
        <w:tc>
          <w:tcPr>
            <w:tcW w:type="dxa" w:w="2160"/>
          </w:tcPr>
          <w:p>
            <w:r>
              <w:t>Low (10%)</w:t>
            </w:r>
          </w:p>
        </w:tc>
        <w:tc>
          <w:tcPr>
            <w:tcW w:type="dxa" w:w="2160"/>
          </w:tcPr>
          <w:p>
            <w:r>
              <w:t>Very High</w:t>
            </w:r>
          </w:p>
        </w:tc>
        <w:tc>
          <w:tcPr>
            <w:tcW w:type="dxa" w:w="2160"/>
          </w:tcPr>
          <w:p>
            <w:r>
              <w:t>Maintenance investment, training, safety culture</w:t>
            </w:r>
          </w:p>
        </w:tc>
      </w:tr>
      <w:tr>
        <w:tc>
          <w:tcPr>
            <w:tcW w:type="dxa" w:w="2160"/>
          </w:tcPr>
          <w:p>
            <w:r>
              <w:t>Tourism Shocks</w:t>
            </w:r>
          </w:p>
        </w:tc>
        <w:tc>
          <w:tcPr>
            <w:tcW w:type="dxa" w:w="2160"/>
          </w:tcPr>
          <w:p>
            <w:r>
              <w:t>Medium (30%)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Revenue diversification, cargo offset</w:t>
            </w:r>
          </w:p>
        </w:tc>
      </w:tr>
    </w:tbl>
    <w:p>
      <w:r>
        <w:br w:type="page"/>
      </w:r>
    </w:p>
    <w:p>
      <w:pPr>
        <w:pStyle w:val="Heading1"/>
      </w:pPr>
      <w:r>
        <w:t>8. Investment Structure &amp; Recommendations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Total Capital Raise</w:t>
            </w:r>
          </w:p>
        </w:tc>
        <w:tc>
          <w:tcPr>
            <w:tcW w:type="dxa" w:w="4320"/>
          </w:tcPr>
          <w:p>
            <w:r>
              <w:t>USD 50-65 million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Investment Vehicle</w:t>
            </w:r>
          </w:p>
        </w:tc>
        <w:tc>
          <w:tcPr>
            <w:tcW w:type="dxa" w:w="4320"/>
          </w:tcPr>
          <w:p>
            <w:r>
              <w:t>Equity stake in FitsAir / Aberdeen Holdings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Instrument</w:t>
            </w:r>
          </w:p>
        </w:tc>
        <w:tc>
          <w:tcPr>
            <w:tcW w:type="dxa" w:w="4320"/>
          </w:tcPr>
          <w:p>
            <w:r>
              <w:t>Series A preferred equity with board representation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Valuation</w:t>
            </w:r>
          </w:p>
        </w:tc>
        <w:tc>
          <w:tcPr>
            <w:tcW w:type="dxa" w:w="4320"/>
          </w:tcPr>
          <w:p>
            <w:r>
              <w:t>To be determined; indicative USD 80-120M pre-money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Target IRR</w:t>
            </w:r>
          </w:p>
        </w:tc>
        <w:tc>
          <w:tcPr>
            <w:tcW w:type="dxa" w:w="4320"/>
          </w:tcPr>
          <w:p>
            <w:r>
              <w:t>18-25% (base case)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Payback Period</w:t>
            </w:r>
          </w:p>
        </w:tc>
        <w:tc>
          <w:tcPr>
            <w:tcW w:type="dxa" w:w="4320"/>
          </w:tcPr>
          <w:p>
            <w:r>
              <w:t>3-5 years</w:t>
            </w:r>
          </w:p>
        </w:tc>
      </w:tr>
    </w:tbl>
    <w:p>
      <w:pPr>
        <w:pStyle w:val="Heading2"/>
      </w:pPr>
      <w:r>
        <w:t>8.1 Deployment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Tranche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Use of Proceeds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Milestones</w:t>
            </w:r>
          </w:p>
        </w:tc>
      </w:tr>
      <w:tr>
        <w:tc>
          <w:tcPr>
            <w:tcW w:type="dxa" w:w="1728"/>
          </w:tcPr>
          <w:p>
            <w:r>
              <w:t>Tranche 1</w:t>
            </w:r>
          </w:p>
        </w:tc>
        <w:tc>
          <w:tcPr>
            <w:tcW w:type="dxa" w:w="1728"/>
          </w:tcPr>
          <w:p>
            <w:r>
              <w:t>USD 20M</w:t>
            </w:r>
          </w:p>
        </w:tc>
        <w:tc>
          <w:tcPr>
            <w:tcW w:type="dxa" w:w="1728"/>
          </w:tcPr>
          <w:p>
            <w:r>
              <w:t>Q2 2025</w:t>
            </w:r>
          </w:p>
        </w:tc>
        <w:tc>
          <w:tcPr>
            <w:tcW w:type="dxa" w:w="1728"/>
          </w:tcPr>
          <w:p>
            <w:r>
              <w:t>Fleet acquisition, operational prep</w:t>
            </w:r>
          </w:p>
        </w:tc>
        <w:tc>
          <w:tcPr>
            <w:tcW w:type="dxa" w:w="1728"/>
          </w:tcPr>
          <w:p>
            <w:r>
              <w:t>Aircraft secured; routes confirmed</w:t>
            </w:r>
          </w:p>
        </w:tc>
      </w:tr>
      <w:tr>
        <w:tc>
          <w:tcPr>
            <w:tcW w:type="dxa" w:w="1728"/>
          </w:tcPr>
          <w:p>
            <w:r>
              <w:t>Tranche 2</w:t>
            </w:r>
          </w:p>
        </w:tc>
        <w:tc>
          <w:tcPr>
            <w:tcW w:type="dxa" w:w="1728"/>
          </w:tcPr>
          <w:p>
            <w:r>
              <w:t>USD 20M</w:t>
            </w:r>
          </w:p>
        </w:tc>
        <w:tc>
          <w:tcPr>
            <w:tcW w:type="dxa" w:w="1728"/>
          </w:tcPr>
          <w:p>
            <w:r>
              <w:t>Q2 2026</w:t>
            </w:r>
          </w:p>
        </w:tc>
        <w:tc>
          <w:tcPr>
            <w:tcW w:type="dxa" w:w="1728"/>
          </w:tcPr>
          <w:p>
            <w:r>
              <w:t>Route expansion, marketing</w:t>
            </w:r>
          </w:p>
        </w:tc>
        <w:tc>
          <w:tcPr>
            <w:tcW w:type="dxa" w:w="1728"/>
          </w:tcPr>
          <w:p>
            <w:r>
              <w:t>India/Maldives routes launched</w:t>
            </w:r>
          </w:p>
        </w:tc>
      </w:tr>
      <w:tr>
        <w:tc>
          <w:tcPr>
            <w:tcW w:type="dxa" w:w="1728"/>
          </w:tcPr>
          <w:p>
            <w:r>
              <w:t>Tranche 3</w:t>
            </w:r>
          </w:p>
        </w:tc>
        <w:tc>
          <w:tcPr>
            <w:tcW w:type="dxa" w:w="1728"/>
          </w:tcPr>
          <w:p>
            <w:r>
              <w:t>USD 10-15M</w:t>
            </w:r>
          </w:p>
        </w:tc>
        <w:tc>
          <w:tcPr>
            <w:tcW w:type="dxa" w:w="1728"/>
          </w:tcPr>
          <w:p>
            <w:r>
              <w:t>Q2 2027</w:t>
            </w:r>
          </w:p>
        </w:tc>
        <w:tc>
          <w:tcPr>
            <w:tcW w:type="dxa" w:w="1728"/>
          </w:tcPr>
          <w:p>
            <w:r>
              <w:t>Infrastructure, technology</w:t>
            </w:r>
          </w:p>
        </w:tc>
        <w:tc>
          <w:tcPr>
            <w:tcW w:type="dxa" w:w="1728"/>
          </w:tcPr>
          <w:p>
            <w:r>
              <w:t>Phase 3 expansion evaluated</w:t>
            </w:r>
          </w:p>
        </w:tc>
      </w:tr>
    </w:tbl>
    <w:p>
      <w:r>
        <w:br w:type="page"/>
      </w:r>
    </w:p>
    <w:p>
      <w:pPr>
        <w:pStyle w:val="Heading1"/>
      </w:pPr>
      <w:r>
        <w:t>9. Appendix: Data Sources &amp;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2880"/>
          </w:tcPr>
          <w:p>
            <w:r>
              <w:t>Macroeconomic Data</w:t>
            </w:r>
          </w:p>
        </w:tc>
        <w:tc>
          <w:tcPr>
            <w:tcW w:type="dxa" w:w="2880"/>
          </w:tcPr>
          <w:p>
            <w:r>
              <w:t>World Bank Open Data API</w:t>
            </w:r>
          </w:p>
        </w:tc>
        <w:tc>
          <w:tcPr>
            <w:tcW w:type="dxa" w:w="2880"/>
          </w:tcPr>
          <w:p>
            <w:r>
              <w:t>https://data.worldbank.org</w:t>
            </w:r>
          </w:p>
        </w:tc>
      </w:tr>
      <w:tr>
        <w:tc>
          <w:tcPr>
            <w:tcW w:type="dxa" w:w="2880"/>
          </w:tcPr>
          <w:p>
            <w:r>
              <w:t>GDP, Inflation, Trade</w:t>
            </w:r>
          </w:p>
        </w:tc>
        <w:tc>
          <w:tcPr>
            <w:tcW w:type="dxa" w:w="2880"/>
          </w:tcPr>
          <w:p>
            <w:r>
              <w:t>IMF World Economic Database</w:t>
            </w:r>
          </w:p>
        </w:tc>
        <w:tc>
          <w:tcPr>
            <w:tcW w:type="dxa" w:w="2880"/>
          </w:tcPr>
          <w:p>
            <w:r>
              <w:t>https://www.imf.org/en/Publications/WEO</w:t>
            </w:r>
          </w:p>
        </w:tc>
      </w:tr>
      <w:tr>
        <w:tc>
          <w:tcPr>
            <w:tcW w:type="dxa" w:w="2880"/>
          </w:tcPr>
          <w:p>
            <w:r>
              <w:t>Sri Lanka Economic</w:t>
            </w:r>
          </w:p>
        </w:tc>
        <w:tc>
          <w:tcPr>
            <w:tcW w:type="dxa" w:w="2880"/>
          </w:tcPr>
          <w:p>
            <w:r>
              <w:t>Asian Development Bank</w:t>
            </w:r>
          </w:p>
        </w:tc>
        <w:tc>
          <w:tcPr>
            <w:tcW w:type="dxa" w:w="2880"/>
          </w:tcPr>
          <w:p>
            <w:r>
              <w:t>https://www.adb.org/countries/sri-lanka</w:t>
            </w:r>
          </w:p>
        </w:tc>
      </w:tr>
      <w:tr>
        <w:tc>
          <w:tcPr>
            <w:tcW w:type="dxa" w:w="2880"/>
          </w:tcPr>
          <w:p>
            <w:r>
              <w:t>Tourism Statistics</w:t>
            </w:r>
          </w:p>
        </w:tc>
        <w:tc>
          <w:tcPr>
            <w:tcW w:type="dxa" w:w="2880"/>
          </w:tcPr>
          <w:p>
            <w:r>
              <w:t>SLTDA</w:t>
            </w:r>
          </w:p>
        </w:tc>
        <w:tc>
          <w:tcPr>
            <w:tcW w:type="dxa" w:w="2880"/>
          </w:tcPr>
          <w:p>
            <w:r>
              <w:t>https://sltda.gov.lk</w:t>
            </w:r>
          </w:p>
        </w:tc>
      </w:tr>
      <w:tr>
        <w:tc>
          <w:tcPr>
            <w:tcW w:type="dxa" w:w="2880"/>
          </w:tcPr>
          <w:p>
            <w:r>
              <w:t>Tourism Research</w:t>
            </w:r>
          </w:p>
        </w:tc>
        <w:tc>
          <w:tcPr>
            <w:tcW w:type="dxa" w:w="2880"/>
          </w:tcPr>
          <w:p>
            <w:r>
              <w:t>World T&amp;T Council (WTTC)</w:t>
            </w:r>
          </w:p>
        </w:tc>
        <w:tc>
          <w:tcPr>
            <w:tcW w:type="dxa" w:w="2880"/>
          </w:tcPr>
          <w:p>
            <w:r>
              <w:t>https://wttc.org</w:t>
            </w:r>
          </w:p>
        </w:tc>
      </w:tr>
      <w:tr>
        <w:tc>
          <w:tcPr>
            <w:tcW w:type="dxa" w:w="2880"/>
          </w:tcPr>
          <w:p>
            <w:r>
              <w:t>Airline Data</w:t>
            </w:r>
          </w:p>
        </w:tc>
        <w:tc>
          <w:tcPr>
            <w:tcW w:type="dxa" w:w="2880"/>
          </w:tcPr>
          <w:p>
            <w:r>
              <w:t>ch-aviation</w:t>
            </w:r>
          </w:p>
        </w:tc>
        <w:tc>
          <w:tcPr>
            <w:tcW w:type="dxa" w:w="2880"/>
          </w:tcPr>
          <w:p>
            <w:r>
              <w:t>https://www.ch-aviation.com</w:t>
            </w:r>
          </w:p>
        </w:tc>
      </w:tr>
      <w:tr>
        <w:tc>
          <w:tcPr>
            <w:tcW w:type="dxa" w:w="2880"/>
          </w:tcPr>
          <w:p>
            <w:r>
              <w:t>Schedule Data</w:t>
            </w:r>
          </w:p>
        </w:tc>
        <w:tc>
          <w:tcPr>
            <w:tcW w:type="dxa" w:w="2880"/>
          </w:tcPr>
          <w:p>
            <w:r>
              <w:t>OAG Schedules</w:t>
            </w:r>
          </w:p>
        </w:tc>
        <w:tc>
          <w:tcPr>
            <w:tcW w:type="dxa" w:w="2880"/>
          </w:tcPr>
          <w:p>
            <w:r>
              <w:t>https://www.oag.com</w:t>
            </w:r>
          </w:p>
        </w:tc>
      </w:tr>
      <w:tr>
        <w:tc>
          <w:tcPr>
            <w:tcW w:type="dxa" w:w="2880"/>
          </w:tcPr>
          <w:p>
            <w:r>
              <w:t>Aviation Intelligence</w:t>
            </w:r>
          </w:p>
        </w:tc>
        <w:tc>
          <w:tcPr>
            <w:tcW w:type="dxa" w:w="2880"/>
          </w:tcPr>
          <w:p>
            <w:r>
              <w:t>Cirium</w:t>
            </w:r>
          </w:p>
        </w:tc>
        <w:tc>
          <w:tcPr>
            <w:tcW w:type="dxa" w:w="2880"/>
          </w:tcPr>
          <w:p>
            <w:r>
              <w:t>https://cirium.com</w:t>
            </w:r>
          </w:p>
        </w:tc>
      </w:tr>
      <w:tr>
        <w:tc>
          <w:tcPr>
            <w:tcW w:type="dxa" w:w="2880"/>
          </w:tcPr>
          <w:p>
            <w:r>
              <w:t>FitsAir Info</w:t>
            </w:r>
          </w:p>
        </w:tc>
        <w:tc>
          <w:tcPr>
            <w:tcW w:type="dxa" w:w="2880"/>
          </w:tcPr>
          <w:p>
            <w:r>
              <w:t>Wikipedia - FitsAir</w:t>
            </w:r>
          </w:p>
        </w:tc>
        <w:tc>
          <w:tcPr>
            <w:tcW w:type="dxa" w:w="2880"/>
          </w:tcPr>
          <w:p>
            <w:r>
              <w:t>https://en.wikipedia.org/wiki/FitsAir</w:t>
            </w:r>
          </w:p>
        </w:tc>
      </w:tr>
      <w:tr>
        <w:tc>
          <w:tcPr>
            <w:tcW w:type="dxa" w:w="2880"/>
          </w:tcPr>
          <w:p>
            <w:r>
              <w:t>SriLankan Airlines</w:t>
            </w:r>
          </w:p>
        </w:tc>
        <w:tc>
          <w:tcPr>
            <w:tcW w:type="dxa" w:w="2880"/>
          </w:tcPr>
          <w:p>
            <w:r>
              <w:t>Wikipedia - SriLankan</w:t>
            </w:r>
          </w:p>
        </w:tc>
        <w:tc>
          <w:tcPr>
            <w:tcW w:type="dxa" w:w="2880"/>
          </w:tcPr>
          <w:p>
            <w:r>
              <w:t>https://en.wikipedia.org/wiki/SriLankan_Airlines</w:t>
            </w:r>
          </w:p>
        </w:tc>
      </w:tr>
      <w:tr>
        <w:tc>
          <w:tcPr>
            <w:tcW w:type="dxa" w:w="2880"/>
          </w:tcPr>
          <w:p>
            <w:r>
              <w:t>Tourism in Sri Lanka</w:t>
            </w:r>
          </w:p>
        </w:tc>
        <w:tc>
          <w:tcPr>
            <w:tcW w:type="dxa" w:w="2880"/>
          </w:tcPr>
          <w:p>
            <w:r>
              <w:t>Wikipedia - Tourism in SL</w:t>
            </w:r>
          </w:p>
        </w:tc>
        <w:tc>
          <w:tcPr>
            <w:tcW w:type="dxa" w:w="2880"/>
          </w:tcPr>
          <w:p>
            <w:r>
              <w:t>https://en.wikipedia.org/wiki/Tourism_in_Sri_Lanka</w:t>
            </w:r>
          </w:p>
        </w:tc>
      </w:tr>
      <w:tr>
        <w:tc>
          <w:tcPr>
            <w:tcW w:type="dxa" w:w="2880"/>
          </w:tcPr>
          <w:p>
            <w:r>
              <w:t>Aviation Statistics</w:t>
            </w:r>
          </w:p>
        </w:tc>
        <w:tc>
          <w:tcPr>
            <w:tcW w:type="dxa" w:w="2880"/>
          </w:tcPr>
          <w:p>
            <w:r>
              <w:t>IATA</w:t>
            </w:r>
          </w:p>
        </w:tc>
        <w:tc>
          <w:tcPr>
            <w:tcW w:type="dxa" w:w="2880"/>
          </w:tcPr>
          <w:p>
            <w:r>
              <w:t>https://www.iata.org</w:t>
            </w:r>
          </w:p>
        </w:tc>
      </w:tr>
      <w:tr>
        <w:tc>
          <w:tcPr>
            <w:tcW w:type="dxa" w:w="2880"/>
          </w:tcPr>
          <w:p>
            <w:r>
              <w:t>Airport Data</w:t>
            </w:r>
          </w:p>
        </w:tc>
        <w:tc>
          <w:tcPr>
            <w:tcW w:type="dxa" w:w="2880"/>
          </w:tcPr>
          <w:p>
            <w:r>
              <w:t>Airport of Sri Lanka</w:t>
            </w:r>
          </w:p>
        </w:tc>
        <w:tc>
          <w:tcPr>
            <w:tcW w:type="dxa" w:w="2880"/>
          </w:tcPr>
          <w:p>
            <w:r>
              <w:t>https://www.airport.lk</w:t>
            </w:r>
          </w:p>
        </w:tc>
      </w:tr>
      <w:tr>
        <w:tc>
          <w:tcPr>
            <w:tcW w:type="dxa" w:w="2880"/>
          </w:tcPr>
          <w:p>
            <w:r>
              <w:t>Central Bank Data</w:t>
            </w:r>
          </w:p>
        </w:tc>
        <w:tc>
          <w:tcPr>
            <w:tcW w:type="dxa" w:w="2880"/>
          </w:tcPr>
          <w:p>
            <w:r>
              <w:t>Central Bank of Sri Lanka</w:t>
            </w:r>
          </w:p>
        </w:tc>
        <w:tc>
          <w:tcPr>
            <w:tcW w:type="dxa" w:w="2880"/>
          </w:tcPr>
          <w:p>
            <w:r>
              <w:t>https://www.cbsl.gov.lk</w:t>
            </w:r>
          </w:p>
        </w:tc>
      </w:tr>
      <w:tr>
        <w:tc>
          <w:tcPr>
            <w:tcW w:type="dxa" w:w="2880"/>
          </w:tcPr>
          <w:p>
            <w:r>
              <w:t>Aviation Regulation</w:t>
            </w:r>
          </w:p>
        </w:tc>
        <w:tc>
          <w:tcPr>
            <w:tcW w:type="dxa" w:w="2880"/>
          </w:tcPr>
          <w:p>
            <w:r>
              <w:t>CAASL</w:t>
            </w:r>
          </w:p>
        </w:tc>
        <w:tc>
          <w:tcPr>
            <w:tcW w:type="dxa" w:w="2880"/>
          </w:tcPr>
          <w:p>
            <w:r>
              <w:t>https://www.caa.lk</w:t>
            </w:r>
          </w:p>
        </w:tc>
      </w:tr>
    </w:tbl>
    <w:p>
      <w:pPr>
        <w:pStyle w:val="Heading2"/>
      </w:pPr>
      <w:r>
        <w:t>Important Disclosures</w:t>
      </w:r>
    </w:p>
    <w:p>
      <w:pPr>
        <w:pStyle w:val="Caption"/>
      </w:pPr>
      <w:r>
        <w:t>1. This memorandum contains forward-looking statements based on current market conditions. Actual results may vary materially.</w:t>
      </w:r>
    </w:p>
    <w:p>
      <w:pPr>
        <w:pStyle w:val="Caption"/>
      </w:pPr>
      <w:r>
        <w:t>2. Projections and return estimates are based on assumptions that may change. Key assumptions include tourism growth, fuel prices, exchange rates, and competitive dynamics.</w:t>
      </w:r>
    </w:p>
    <w:p>
      <w:pPr>
        <w:pStyle w:val="Caption"/>
      </w:pPr>
      <w:r>
        <w:t>3. This document is for discussion purposes only and does not constitute an offer to sell or solicitation of an offer to buy securities.</w:t>
      </w:r>
    </w:p>
    <w:p>
      <w:pPr>
        <w:pStyle w:val="Caption"/>
      </w:pPr>
      <w:r>
        <w:t>4. Investment in emerging market aviation carries significant risks including currency volatility, regulatory changes, and macroeconomic instability.</w:t>
      </w:r>
    </w:p>
    <w:p>
      <w:pPr>
        <w:pStyle w:val="Caption"/>
      </w:pPr>
      <w:r>
        <w:t>5. Past performance of comparable investments does not guarantee future returns.</w:t>
      </w:r>
    </w:p>
    <w:p>
      <w:pPr>
        <w:pStyle w:val="Caption"/>
      </w:pPr>
      <w:r>
        <w:t>6. Due diligence should be conducted by qualified professionals before any investment decision.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t>STRICTLY CONFIDENTIAL | Prepared May 2025 | Version 2.0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