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WPDN_Work_plan"/>
      <w:bookmarkEnd w:id="0"/>
      <w:r>
        <w:rPr/>
        <w:t xml:space="preserve">FY2022 </w:t>
      </w:r>
      <w:r>
        <w:rPr/>
        <w:t xml:space="preserve">WPDN Work </w:t>
      </w:r>
      <w:r>
        <w:rPr/>
        <w:t>P</w:t>
      </w:r>
      <w:r>
        <w:rPr/>
        <w:t>lan and Budget</w:t>
        <w:br/>
      </w:r>
      <w:r>
        <w:rPr/>
        <w:t>University of Guam</w:t>
      </w:r>
    </w:p>
    <w:p>
      <w:pPr>
        <w:pStyle w:val="Normal"/>
        <w:rPr/>
      </w:pPr>
      <w:r>
        <w:rPr/>
        <w:t xml:space="preserve">Prepared by </w:t>
      </w:r>
      <w:hyperlink r:id="rId2">
        <w:r>
          <w:rPr>
            <w:rStyle w:val="InternetLink"/>
          </w:rPr>
          <w:t>aubreymoore@triton.uog.edu</w:t>
        </w:r>
      </w:hyperlink>
    </w:p>
    <w:p>
      <w:pPr>
        <w:pStyle w:val="Normal"/>
        <w:rPr/>
      </w:pPr>
      <w:r>
        <w:rPr/>
      </w:r>
      <w:bookmarkStart w:id="1" w:name="_GoBack"/>
      <w:bookmarkStart w:id="2" w:name="_GoBack"/>
      <w:bookmarkEnd w:id="2"/>
    </w:p>
    <w:p>
      <w:pPr>
        <w:pStyle w:val="Heading2"/>
        <w:rPr/>
      </w:pPr>
      <w:r>
        <w:rPr/>
        <w:t>Contact information</w:t>
      </w:r>
    </w:p>
    <w:p>
      <w:pPr>
        <w:pStyle w:val="Normal"/>
        <w:rPr/>
      </w:pPr>
      <w:r>
        <w:rPr/>
      </w:r>
    </w:p>
    <w:tbl>
      <w:tblPr>
        <w:tblStyle w:val="a0"/>
        <w:tblW w:w="9350" w:type="dxa"/>
        <w:jc w:val="left"/>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0" w:type="dxa"/>
          <w:left w:w="108" w:type="dxa"/>
          <w:bottom w:w="0" w:type="dxa"/>
          <w:right w:w="108" w:type="dxa"/>
        </w:tblCellMar>
        <w:tblLook w:noVBand="1" w:val="0400" w:noHBand="0" w:lastColumn="0" w:firstColumn="0" w:lastRow="0" w:firstRow="0"/>
      </w:tblPr>
      <w:tblGrid>
        <w:gridCol w:w="1890"/>
        <w:gridCol w:w="3690"/>
        <w:gridCol w:w="3770"/>
      </w:tblGrid>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b/>
                <w:b/>
              </w:rPr>
            </w:pPr>
            <w:r>
              <w:rPr>
                <w:b/>
              </w:rPr>
              <w:t>Principal Investigator/Project Director</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b/>
                <w:b/>
              </w:rPr>
            </w:pPr>
            <w:r>
              <w:rPr>
                <w:b/>
              </w:rPr>
              <w:t>Administrative Contact</w:t>
            </w:r>
          </w:p>
        </w:tc>
      </w:tr>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t>Name:</w:t>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 xml:space="preserve">Dr. </w:t>
            </w:r>
            <w:r>
              <w:rPr/>
              <w:t>Aubrey Moore</w:t>
              <w:br/>
            </w:r>
            <w:r>
              <w:rPr/>
              <w:t>Entomologist</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 xml:space="preserve">Dr. </w:t>
            </w:r>
            <w:r>
              <w:rPr/>
              <w:t>Lee S. Yudin</w:t>
              <w:br/>
              <w:t>Dean / Director</w:t>
            </w:r>
          </w:p>
        </w:tc>
      </w:tr>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t>Department:</w:t>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College of Natural and Applied Sciences</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College of Natural and Applied Sciences</w:t>
            </w:r>
          </w:p>
        </w:tc>
      </w:tr>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t>Institution:</w:t>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University of Guam</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University of Guam</w:t>
            </w:r>
          </w:p>
        </w:tc>
      </w:tr>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t>Phone:</w:t>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671-</w:t>
            </w:r>
            <w:r>
              <w:rPr/>
              <w:t>735-2086</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671-735-2000</w:t>
            </w:r>
          </w:p>
        </w:tc>
      </w:tr>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t>Email:</w:t>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aubreymoore@triton.uog.edu</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lyudin@triton.uog.edu</w:t>
            </w:r>
          </w:p>
        </w:tc>
      </w:tr>
      <w:tr>
        <w:trPr/>
        <w:tc>
          <w:tcPr>
            <w:tcW w:w="18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widowControl/>
              <w:bidi w:val="0"/>
              <w:spacing w:before="120" w:after="0"/>
              <w:jc w:val="left"/>
              <w:rPr/>
            </w:pPr>
            <w:r>
              <w:rPr/>
              <w:t>Address:</w:t>
            </w:r>
          </w:p>
        </w:tc>
        <w:tc>
          <w:tcPr>
            <w:tcW w:w="369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College of Natural and Applied Sciences, University of Guam, Mangilao, Guam 96923</w:t>
            </w:r>
          </w:p>
        </w:tc>
        <w:tc>
          <w:tcPr>
            <w:tcW w:w="3770" w:type="dxa"/>
            <w:tcBorders>
              <w:top w:val="single" w:sz="4" w:space="0" w:color="A6A6A6"/>
              <w:left w:val="single" w:sz="4" w:space="0" w:color="A6A6A6"/>
              <w:bottom w:val="single" w:sz="4" w:space="0" w:color="A6A6A6"/>
              <w:right w:val="single" w:sz="4" w:space="0" w:color="A6A6A6"/>
              <w:insideH w:val="single" w:sz="4" w:space="0" w:color="A6A6A6"/>
              <w:insideV w:val="single" w:sz="4" w:space="0" w:color="A6A6A6"/>
            </w:tcBorders>
            <w:shd w:fill="auto" w:val="clear"/>
          </w:tcPr>
          <w:p>
            <w:pPr>
              <w:pStyle w:val="Normal"/>
              <w:spacing w:before="120" w:after="0"/>
              <w:rPr/>
            </w:pPr>
            <w:r>
              <w:rPr/>
              <w:t>College of Natural and Applied Sciences, University of Guam, Mangilao, Guam 96923</w:t>
            </w:r>
          </w:p>
        </w:tc>
      </w:tr>
    </w:tbl>
    <w:p>
      <w:pPr>
        <w:pStyle w:val="Heading2"/>
        <w:rPr/>
      </w:pPr>
      <w:r>
        <w:rPr/>
      </w:r>
    </w:p>
    <w:p>
      <w:pPr>
        <w:pStyle w:val="Heading2"/>
        <w:rPr/>
      </w:pPr>
      <w:r>
        <w:rPr/>
        <w:t>Work plan</w:t>
      </w:r>
    </w:p>
    <w:p>
      <w:pPr>
        <w:pStyle w:val="Heading3"/>
        <w:rPr>
          <w:b/>
          <w:b/>
          <w:bCs/>
        </w:rPr>
      </w:pPr>
      <w:r>
        <w:rPr>
          <w:b/>
          <w:bCs/>
          <w:color w:val="000000"/>
        </w:rPr>
        <w:t>Dat</w:t>
      </w:r>
      <w:r>
        <w:rPr>
          <w:b/>
          <w:bCs/>
          <w:color w:val="000000"/>
        </w:rPr>
        <w:t>a</w:t>
      </w:r>
      <w:r>
        <w:rPr>
          <w:b/>
          <w:bCs/>
          <w:color w:val="000000"/>
        </w:rPr>
        <w:t xml:space="preserve"> r</w:t>
      </w:r>
      <w:r>
        <w:rPr>
          <w:b/>
          <w:bCs/>
          <w:color w:val="000000"/>
        </w:rPr>
        <w:t>eporting</w:t>
      </w:r>
    </w:p>
    <w:p>
      <w:pPr>
        <w:pStyle w:val="Normal"/>
        <w:pBdr/>
        <w:spacing w:before="0" w:after="240"/>
        <w:rPr/>
      </w:pPr>
      <w:r>
        <w:rPr>
          <w:color w:val="000000"/>
        </w:rPr>
        <w:t xml:space="preserve">UOG will upload diagnostic data to the NPDN National Repository as required for all labs participating in the NPDN. UOG has not previously provided data to the NPDN National Repository. Instead, an alternative WPDN-supported database, the Pacific Islands Distance Diagnostics and Recommendation System (PIDDRS) was used. PIDDRS was </w:t>
      </w:r>
      <w:r>
        <w:rPr>
          <w:color w:val="000000"/>
        </w:rPr>
        <w:t xml:space="preserve">recently </w:t>
      </w:r>
      <w:r>
        <w:rPr>
          <w:color w:val="000000"/>
        </w:rPr>
        <w:t xml:space="preserve">discontinued and UOG has not yet transitioned to using the National Repository. Initially, a large backlog of data will be uploaded to the National Repository, followed by near-real-time uploads as new pest species are detected and identified. </w:t>
      </w:r>
    </w:p>
    <w:p>
      <w:pPr>
        <w:pStyle w:val="Heading3"/>
        <w:rPr>
          <w:b/>
          <w:b/>
          <w:bCs/>
        </w:rPr>
      </w:pPr>
      <w:r>
        <w:rPr>
          <w:b/>
          <w:bCs/>
        </w:rPr>
        <w:t>Participation</w:t>
      </w:r>
    </w:p>
    <w:p>
      <w:pPr>
        <w:pStyle w:val="Normal"/>
        <w:pBdr/>
        <w:spacing w:before="0" w:after="240"/>
        <w:rPr>
          <w:sz w:val="22"/>
          <w:szCs w:val="22"/>
        </w:rPr>
      </w:pPr>
      <w:r>
        <w:rPr>
          <w:color w:val="000000"/>
          <w:sz w:val="22"/>
          <w:szCs w:val="22"/>
        </w:rPr>
        <w:t xml:space="preserve">UOG will continue to participate in conference calls. Two WPDN participants from UOG will participate in the national NPDN meeting </w:t>
      </w:r>
      <w:r>
        <w:rPr>
          <w:color w:val="000000"/>
          <w:sz w:val="22"/>
          <w:szCs w:val="22"/>
        </w:rPr>
        <w:t xml:space="preserve">scheduled to be held </w:t>
      </w:r>
      <w:r>
        <w:rPr>
          <w:rFonts w:ascii="Calibri;sans-serif" w:hAnsi="Calibri;sans-serif"/>
          <w:b w:val="false"/>
          <w:i w:val="false"/>
          <w:caps w:val="false"/>
          <w:smallCaps w:val="false"/>
          <w:color w:val="000000"/>
          <w:spacing w:val="0"/>
          <w:sz w:val="22"/>
          <w:szCs w:val="22"/>
        </w:rPr>
        <w:t>April 25-29, 2022, in Davis, CA</w:t>
      </w:r>
      <w:r>
        <w:rPr>
          <w:color w:val="000000"/>
          <w:sz w:val="22"/>
          <w:szCs w:val="22"/>
        </w:rPr>
        <w:t xml:space="preserve">. </w:t>
      </w:r>
    </w:p>
    <w:p>
      <w:pPr>
        <w:pStyle w:val="Heading3"/>
        <w:rPr>
          <w:b/>
          <w:b/>
          <w:bCs/>
          <w:color w:val="000000"/>
          <w:sz w:val="22"/>
          <w:szCs w:val="22"/>
        </w:rPr>
      </w:pPr>
      <w:r>
        <w:rPr>
          <w:b/>
          <w:bCs/>
          <w:color w:val="000000"/>
          <w:sz w:val="22"/>
          <w:szCs w:val="22"/>
        </w:rPr>
      </w:r>
      <w:r>
        <w:br w:type="page"/>
      </w:r>
    </w:p>
    <w:p>
      <w:pPr>
        <w:pStyle w:val="Heading3"/>
        <w:rPr>
          <w:b/>
          <w:b/>
          <w:bCs/>
        </w:rPr>
      </w:pPr>
      <w:r>
        <w:rPr>
          <w:b/>
          <w:bCs/>
          <w:color w:val="000000"/>
        </w:rPr>
        <w:t>Quality Diagnosis</w:t>
      </w:r>
      <w:r>
        <w:rPr>
          <w:b/>
          <w:bCs/>
          <w:color w:val="000000"/>
        </w:rPr>
        <w:t xml:space="preserve"> </w:t>
      </w:r>
    </w:p>
    <w:p>
      <w:pPr>
        <w:pStyle w:val="Normal"/>
        <w:pBdr/>
        <w:spacing w:before="0" w:after="240"/>
        <w:rPr/>
      </w:pPr>
      <w:r>
        <w:rPr>
          <w:color w:val="000000"/>
        </w:rPr>
        <w:t xml:space="preserve">WPDN funding will be used to continue provision of plant pest diagnostics as a free service for various clientele on Guam and on other American-affiliated islands within Micronesia. Island groups include the Republic of the Marshall Islands, the Federated States of Micronesia, the Republic of Palau, and the Commonwealth of the Northern Mariana Islands. </w:t>
      </w:r>
    </w:p>
    <w:p>
      <w:pPr>
        <w:pStyle w:val="Normal"/>
        <w:pBdr/>
        <w:spacing w:before="0" w:after="240"/>
        <w:rPr/>
      </w:pPr>
      <w:r>
        <w:rPr>
          <w:b/>
          <w:color w:val="000000"/>
        </w:rPr>
        <w:t>Other Contributions to NPDN</w:t>
      </w:r>
      <w:r>
        <w:rPr>
          <w:color w:val="000000"/>
        </w:rPr>
        <w:t xml:space="preserve"> </w:t>
      </w:r>
    </w:p>
    <w:p>
      <w:pPr>
        <w:pStyle w:val="Normal"/>
        <w:pBdr/>
        <w:spacing w:before="0" w:after="240"/>
        <w:rPr/>
      </w:pPr>
      <w:r>
        <w:rPr>
          <w:color w:val="000000"/>
        </w:rPr>
        <w:t xml:space="preserve">UOG will continue to offer NPDN First Detector Training and certification as part of the University’s plant pathology, entomology, and </w:t>
      </w:r>
      <w:r>
        <w:rPr>
          <w:color w:val="000000"/>
        </w:rPr>
        <w:t>p</w:t>
      </w:r>
      <w:r>
        <w:rPr>
          <w:color w:val="000000"/>
        </w:rPr>
        <w:t xml:space="preserve">est management courses. Plans are underway to collaborate with the Guam Department of Agriculture to develop a First Detector Training Workshop for the Guam Ports Authority. UOG will continue to document first island records for introduced and invasive species detected within Micronesia. </w:t>
      </w:r>
    </w:p>
    <w:p>
      <w:pPr>
        <w:pStyle w:val="Heading2"/>
        <w:rPr/>
      </w:pPr>
      <w:r>
        <w:rPr/>
        <w:t>Budget and Narrative</w:t>
      </w:r>
    </w:p>
    <w:p>
      <w:pPr>
        <w:pStyle w:val="Normal"/>
        <w:rPr/>
      </w:pPr>
      <w:r>
        <w:rPr/>
      </w:r>
    </w:p>
    <w:tbl>
      <w:tblPr>
        <w:tblStyle w:val="a1"/>
        <w:tblW w:w="9350"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noVBand="1" w:val="0400" w:noHBand="0" w:lastColumn="0" w:firstColumn="0" w:lastRow="0" w:firstRow="0"/>
      </w:tblPr>
      <w:tblGrid>
        <w:gridCol w:w="2155"/>
        <w:gridCol w:w="1805"/>
        <w:gridCol w:w="5390"/>
      </w:tblGrid>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b/>
                <w:bCs/>
                <w:color w:val="000000"/>
              </w:rPr>
              <w:t>Item</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b/>
                <w:bCs/>
                <w:color w:val="000000"/>
              </w:rPr>
              <w:t>Allocation</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b/>
                <w:bCs/>
                <w:color w:val="000000"/>
              </w:rPr>
              <w:t>Description/Narrative</w:t>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Salaries &amp; Benefits</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pPr>
            <w:r>
              <w:rPr>
                <w:color w:val="000000"/>
              </w:rPr>
              <w:t>$</w:t>
            </w:r>
            <w:r>
              <w:rPr>
                <w:color w:val="000000"/>
              </w:rPr>
              <w:t>6,000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Partial salary for plant pest diagnotics technician</w:t>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Supplies &amp; Materials</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pPr>
            <w:r>
              <w:rPr>
                <w:color w:val="000000"/>
              </w:rPr>
              <w:t>$</w:t>
            </w:r>
            <w:r>
              <w:rPr>
                <w:color w:val="000000"/>
              </w:rPr>
              <w:t>1,500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Laboratory supplies</w:t>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 xml:space="preserve">Travel &amp; Training </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color w:val="000000"/>
              </w:rPr>
            </w:pPr>
            <w:r>
              <w:rPr>
                <w:color w:val="000000"/>
              </w:rPr>
              <w:t>$</w:t>
            </w:r>
            <w:r>
              <w:rPr>
                <w:color w:val="000000"/>
              </w:rPr>
              <w:t>6,000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sz w:val="22"/>
                <w:szCs w:val="22"/>
              </w:rPr>
            </w:pPr>
            <w:r>
              <w:rPr>
                <w:color w:val="000000"/>
                <w:sz w:val="22"/>
                <w:szCs w:val="22"/>
              </w:rPr>
              <w:t>Travel and lodging for 2 participants at the NPDN national meeting (</w:t>
            </w:r>
            <w:r>
              <w:rPr>
                <w:rFonts w:ascii="Calibri;sans-serif" w:hAnsi="Calibri;sans-serif"/>
                <w:b w:val="false"/>
                <w:i w:val="false"/>
                <w:caps w:val="false"/>
                <w:smallCaps w:val="false"/>
                <w:color w:val="000000"/>
                <w:spacing w:val="0"/>
                <w:sz w:val="22"/>
                <w:szCs w:val="22"/>
              </w:rPr>
              <w:t>April 25-29, 2022, in Davis, CA)</w:t>
            </w:r>
            <w:r>
              <w:rPr>
                <w:color w:val="000000"/>
                <w:sz w:val="22"/>
                <w:szCs w:val="22"/>
              </w:rPr>
              <w:t>.</w:t>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Equipment</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color w:val="000000"/>
              </w:rPr>
            </w:pPr>
            <w:r>
              <w:rPr>
                <w:color w:val="000000"/>
              </w:rPr>
              <w:t>$</w:t>
            </w:r>
            <w:r>
              <w:rPr>
                <w:color w:val="000000"/>
              </w:rPr>
              <w:t>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t xml:space="preserve">Other </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color w:val="000000"/>
              </w:rPr>
            </w:pPr>
            <w:r>
              <w:rPr>
                <w:color w:val="000000"/>
              </w:rPr>
              <w:t>$</w:t>
            </w:r>
            <w:r>
              <w:rPr>
                <w:color w:val="000000"/>
              </w:rPr>
              <w:t>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808080"/>
              </w:rPr>
            </w:pPr>
            <w:r>
              <w:rPr>
                <w:color w:val="000000"/>
              </w:rPr>
              <w:t>Indirect Costs</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color w:val="000000"/>
              </w:rPr>
            </w:pPr>
            <w:r>
              <w:rPr>
                <w:color w:val="000000"/>
              </w:rPr>
              <w:t>$</w:t>
            </w:r>
            <w:r>
              <w:rPr>
                <w:color w:val="000000"/>
              </w:rPr>
              <w:t>1.500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808080"/>
              </w:rPr>
            </w:pPr>
            <w:r>
              <w:rPr>
                <w:color w:val="000000"/>
              </w:rPr>
              <w:t xml:space="preserve">An indirect cost recovery rate of 10% is allowable.  </w:t>
            </w:r>
          </w:p>
        </w:tc>
      </w:tr>
      <w:tr>
        <w:trPr/>
        <w:tc>
          <w:tcPr>
            <w:tcW w:w="215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808080"/>
              </w:rPr>
            </w:pPr>
            <w:r>
              <w:rPr>
                <w:b/>
                <w:bCs/>
                <w:color w:val="000000"/>
              </w:rPr>
              <w:t>Total</w:t>
            </w:r>
          </w:p>
        </w:tc>
        <w:tc>
          <w:tcPr>
            <w:tcW w:w="180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jc w:val="right"/>
              <w:rPr>
                <w:b/>
                <w:b/>
                <w:bCs/>
                <w:color w:val="000000"/>
              </w:rPr>
            </w:pPr>
            <w:r>
              <w:rPr>
                <w:b/>
                <w:bCs/>
                <w:color w:val="000000"/>
              </w:rPr>
              <w:t>$</w:t>
            </w:r>
            <w:r>
              <w:rPr>
                <w:b/>
                <w:bCs/>
                <w:color w:val="000000"/>
              </w:rPr>
              <w:t>15,000</w:t>
            </w:r>
          </w:p>
        </w:tc>
        <w:tc>
          <w:tcPr>
            <w:tcW w:w="539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pBdr/>
              <w:spacing w:before="120" w:after="0"/>
              <w:rPr>
                <w:color w:val="000000"/>
              </w:rPr>
            </w:pPr>
            <w:r>
              <w:rPr>
                <w:color w:val="000000"/>
              </w:rPr>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Calibri">
    <w:altName w:val="sans-serif"/>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widowControl w:val="false"/>
      <w:spacing w:before="240" w:after="0"/>
      <w:outlineLvl w:val="0"/>
    </w:pPr>
    <w:rPr>
      <w:rFonts w:ascii="Cambria" w:hAnsi="Cambria" w:eastAsia="Cambria" w:cs="Cambria"/>
      <w:color w:val="366091"/>
      <w:sz w:val="32"/>
      <w:szCs w:val="32"/>
    </w:rPr>
  </w:style>
  <w:style w:type="paragraph" w:styleId="Heading2">
    <w:name w:val="Heading 2"/>
    <w:basedOn w:val="Normal"/>
    <w:next w:val="Normal"/>
    <w:qFormat/>
    <w:pPr>
      <w:keepNext w:val="true"/>
      <w:keepLines/>
      <w:spacing w:before="40" w:after="0"/>
      <w:outlineLvl w:val="1"/>
    </w:pPr>
    <w:rPr>
      <w:rFonts w:ascii="Cambria" w:hAnsi="Cambria" w:eastAsia="Cambria" w:cs="Cambria"/>
      <w:color w:val="366091"/>
      <w:sz w:val="26"/>
      <w:szCs w:val="26"/>
    </w:rPr>
  </w:style>
  <w:style w:type="paragraph" w:styleId="Heading3">
    <w:name w:val="Heading 3"/>
    <w:basedOn w:val="Normal"/>
    <w:next w:val="Normal"/>
    <w:qFormat/>
    <w:pPr>
      <w:keepNext w:val="true"/>
      <w:keepLines/>
      <w:spacing w:before="120" w:after="120"/>
      <w:outlineLvl w:val="2"/>
    </w:pPr>
    <w:rPr>
      <w:rFonts w:ascii="Cambria" w:hAnsi="Cambria" w:eastAsia="Cambria" w:cs="Cambria"/>
      <w:color w:val="243F61"/>
      <w:sz w:val="24"/>
      <w:szCs w:val="24"/>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d47222"/>
    <w:pPr>
      <w:keepNext w:val="true"/>
      <w:keepLines/>
      <w:spacing w:before="40" w:after="0"/>
      <w:outlineLvl w:val="6"/>
    </w:pPr>
    <w:rPr>
      <w:rFonts w:ascii="Calibri" w:hAnsi="Calibri"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e4386"/>
    <w:rPr>
      <w:rFonts w:ascii="Segoe UI" w:hAnsi="Segoe UI" w:cs="Segoe UI"/>
      <w:sz w:val="18"/>
      <w:szCs w:val="18"/>
    </w:rPr>
  </w:style>
  <w:style w:type="character" w:styleId="Heading7Char" w:customStyle="1">
    <w:name w:val="Heading 7 Char"/>
    <w:basedOn w:val="DefaultParagraphFont"/>
    <w:link w:val="Heading7"/>
    <w:uiPriority w:val="9"/>
    <w:qFormat/>
    <w:rsid w:val="00d47222"/>
    <w:rPr>
      <w:rFonts w:ascii="Calibri" w:hAnsi="Calibri" w:eastAsia="" w:cs="" w:asciiTheme="majorHAnsi" w:cstheme="majorBidi" w:eastAsiaTheme="majorEastAsia" w:hAnsiTheme="majorHAnsi"/>
      <w:i/>
      <w:iCs/>
      <w:color w:val="243F60" w:themeColor="accent1" w:themeShade="7f"/>
    </w:rPr>
  </w:style>
  <w:style w:type="character" w:styleId="InternetLink">
    <w:name w:val="Internet Link"/>
    <w:basedOn w:val="DefaultParagraphFont"/>
    <w:uiPriority w:val="99"/>
    <w:unhideWhenUsed/>
    <w:rsid w:val="000f5a0d"/>
    <w:rPr>
      <w:color w:val="0000FF" w:themeColor="hyperlink"/>
      <w:u w:val="single"/>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style>
  <w:style w:type="character" w:styleId="ListLabel11">
    <w:name w:val="ListLabel 11"/>
    <w:qForma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7e4386"/>
    <w:pPr>
      <w:spacing w:before="0" w:after="0"/>
    </w:pPr>
    <w:rPr>
      <w:rFonts w:ascii="Segoe UI" w:hAnsi="Segoe UI" w:cs="Segoe UI"/>
      <w:sz w:val="18"/>
      <w:szCs w:val="18"/>
    </w:rPr>
  </w:style>
  <w:style w:type="paragraph" w:styleId="ListParagraph">
    <w:name w:val="List Paragraph"/>
    <w:basedOn w:val="Normal"/>
    <w:uiPriority w:val="34"/>
    <w:qFormat/>
    <w:rsid w:val="00cd7431"/>
    <w:pPr>
      <w:spacing w:before="120" w:after="0"/>
      <w:ind w:left="720" w:hanging="0"/>
      <w:contextualSpacing/>
    </w:pPr>
    <w:rPr/>
  </w:style>
  <w:style w:type="paragraph" w:styleId="NoSpacing">
    <w:name w:val="No Spacing"/>
    <w:uiPriority w:val="1"/>
    <w:qFormat/>
    <w:rsid w:val="008b7239"/>
    <w:pPr>
      <w:widowControl/>
      <w:bidi w:val="0"/>
      <w:spacing w:before="0" w:after="0"/>
      <w:jc w:val="left"/>
    </w:pPr>
    <w:rPr>
      <w:rFonts w:ascii="Calibri" w:hAnsi="Calibri" w:eastAsia="Calibri" w:cs="Calibri"/>
      <w:color w:val="auto"/>
      <w:kern w:val="0"/>
      <w:sz w:val="22"/>
      <w:szCs w:val="22"/>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e7f5f"/>
    <w:pPr>
      <w:spacing w:before="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ubreymoore@triton.uog.edu"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Rri48Yp5oT/cjjCRCT7VklFHRxw==">AMUW2mVOTIPrcXAmCC27GxgdPWSnJcgIPqv9mW2Bri5nPZNZySSYoAjfdeARknCqucz1/UuJHfIBcoKlHPPwSwg9w8T6wOgOxZVLD2iwx1oWWMubgpNLZ+g2nmk89noBpY0MyNJJmkXd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2</Pages>
  <Words>387</Words>
  <Characters>2319</Characters>
  <CharactersWithSpaces>2662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2021-04-13T19:59:00Z</dcterms:created>
  <dc:creator>Tania</dc:creator>
  <dc:description/>
  <dc:language>en-US</dc:language>
  <cp:lastModifiedBy>Aubrey Moore</cp:lastModifiedBy>
  <dcterms:modified xsi:type="dcterms:W3CDTF">2021-05-12T07:55:09Z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