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rPr>
        <w:t xml:space="preserve"/>
      </w:r>
    </w:p>
    <w:p>
      <w:pPr>
        <w:spacing w:before="0" w:after="80"/>
        <w:jc w:val="center"/>
      </w:pPr>
      <w:r>
        <w:rPr>
          <w:rFonts w:ascii="Arial" w:cs="Arial" w:eastAsia="Arial" w:hAnsi="Arial"/>
          <w:b/>
          <w:bCs/>
          <w:color w:val="C0392B"/>
          <w:sz w:val="80"/>
          <w:szCs w:val="80"/>
        </w:rPr>
        <w:t xml:space="preserve">SENTINELFORGE</w:t>
      </w:r>
    </w:p>
    <w:p>
      <w:pPr>
        <w:spacing w:before="0" w:after="80"/>
        <w:jc w:val="center"/>
      </w:pPr>
      <w:r>
        <w:rPr>
          <w:rFonts w:ascii="Arial" w:cs="Arial" w:eastAsia="Arial" w:hAnsi="Arial"/>
          <w:b/>
          <w:bCs/>
          <w:color w:val="1A1A2E"/>
          <w:sz w:val="32"/>
          <w:szCs w:val="32"/>
        </w:rPr>
        <w:t xml:space="preserve">Architecture Expansion Proposal</w:t>
      </w:r>
    </w:p>
    <w:p>
      <w:pPr>
        <w:spacing w:before="0" w:after="480"/>
        <w:jc w:val="center"/>
      </w:pPr>
      <w:r>
        <w:rPr>
          <w:rFonts w:ascii="Arial" w:cs="Arial" w:eastAsia="Arial" w:hAnsi="Arial"/>
          <w:i/>
          <w:iCs/>
          <w:color w:val="555555"/>
          <w:sz w:val="22"/>
          <w:szCs w:val="22"/>
        </w:rPr>
        <w:t xml:space="preserve">Five Offensive Intelligence Modules Under Canonical Constraint</w:t>
      </w:r>
    </w:p>
    <w:p>
      <w:pPr>
        <w:spacing w:before="0" w:after="960"/>
        <w:jc w:val="center"/>
      </w:pPr>
      <w:r>
        <w:rPr>
          <w:rFonts w:ascii="Arial" w:cs="Arial" w:eastAsia="Arial" w:hAnsi="Arial"/>
          <w:color w:val="AAAAAA"/>
          <w:sz w:val="18"/>
          <w:szCs w:val="18"/>
        </w:rPr>
        <w:t xml:space="preserve">Classification: Internal Engineering    Revision: 1.0</w:t>
      </w:r>
    </w:p>
    <w:p>
      <w:pPr>
        <w:spacing w:before="0" w:after="0"/>
        <w:ind w:left="720" w:right="720"/>
        <w:jc w:val="center"/>
      </w:pPr>
      <w:r>
        <w:rPr>
          <w:rFonts w:ascii="Arial" w:cs="Arial" w:eastAsia="Arial" w:hAnsi="Arial"/>
          <w:color w:val="0D0D0D"/>
          <w:sz w:val="20"/>
          <w:szCs w:val="20"/>
        </w:rPr>
        <w:t xml:space="preserve">This document specifies five new offensive intelligence modules for SentinelForge. Each module is designed against the canonical constraints of the platform: determinism, auditability, scope enforcement, policy-gated execution, and replayable event streams. Features that cannot be built within these constraints are not proposed here.</w:t>
      </w:r>
    </w:p>
    <w:p>
      <w:r>
        <w:br w:type="page"/>
      </w:r>
    </w:p>
    <w:p>
      <w:pPr>
        <w:pStyle w:val="Heading1"/>
        <w:shd w:fill="1A1A2E" w:val="clear"/>
        <w:spacing w:before="600" w:after="240"/>
      </w:pPr>
      <w:r>
        <w:rPr>
          <w:rFonts w:ascii="Arial" w:cs="Arial" w:eastAsia="Arial" w:hAnsi="Arial"/>
          <w:b/>
          <w:bCs/>
          <w:color w:val="FFFFFF"/>
          <w:sz w:val="36"/>
          <w:szCs w:val="36"/>
        </w:rPr>
        <w:t xml:space="preserve">  1. Architectural Principles</w:t>
      </w:r>
    </w:p>
    <w:p>
      <w:pPr>
        <w:spacing w:before="120" w:after="0"/>
      </w:pPr>
      <w:r>
        <w:rPr>
          <w:rFonts w:ascii="Arial" w:cs="Arial" w:eastAsia="Arial" w:hAnsi="Arial"/>
        </w:rPr>
        <w:t xml:space="preserve"/>
      </w:r>
    </w:p>
    <w:p>
      <w:pPr>
        <w:spacing w:before="80" w:after="80"/>
      </w:pPr>
      <w:r>
        <w:rPr>
          <w:rFonts w:ascii="Arial" w:cs="Arial" w:eastAsia="Arial" w:hAnsi="Arial"/>
          <w:color w:val="0D0D0D"/>
          <w:sz w:val="20"/>
          <w:szCs w:val="20"/>
        </w:rPr>
        <w:t xml:space="preserve">Every module proposed in this document must satisfy all six of the following invariants. These are not aspirational guidelines — they are build gates. A feature that cannot satisfy all six is redesigned until it can, or it is not built.</w:t>
      </w:r>
    </w:p>
    <w:p>
      <w:pPr>
        <w:spacing w:before="160" w:after="0"/>
      </w:pPr>
      <w:r>
        <w:rPr>
          <w:rFonts w:ascii="Arial" w:cs="Arial" w:eastAsia="Arial" w:hAnsi="Arial"/>
        </w:rPr>
        <w:t xml:space="preserve"/>
      </w:r>
    </w:p>
    <w:p>
      <w:pPr>
        <w:pStyle w:val="Heading3"/>
        <w:spacing w:before="280" w:after="100"/>
      </w:pPr>
      <w:r>
        <w:rPr>
          <w:rFonts w:ascii="Arial" w:cs="Arial" w:eastAsia="Arial" w:hAnsi="Arial"/>
          <w:b/>
          <w:bCs/>
          <w:color w:val="1A1A2E"/>
          <w:sz w:val="22"/>
          <w:szCs w:val="22"/>
        </w:rPr>
        <w:t xml:space="preserve">The Six Invariants</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Invariant</w:t>
            </w:r>
          </w:p>
        </w:tc>
        <w:tc>
          <w:tcPr>
            <w:tcW w:type="dxa" w:w="67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What This Means in Practice</w:t>
            </w:r>
          </w:p>
        </w:tc>
      </w:tr>
      <w:tr>
        <w:tc>
          <w:tcPr>
            <w:tcW w:type="dxa" w:w="4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I-1</w:t>
            </w:r>
          </w:p>
        </w:tc>
        <w:tc>
          <w:tcPr>
            <w:tcW w:type="dxa" w:w="22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1A1A2E"/>
                <w:sz w:val="18"/>
                <w:szCs w:val="18"/>
              </w:rPr>
              <w:t xml:space="preserve">Scope-Gated Execution</w:t>
            </w:r>
          </w:p>
        </w:tc>
        <w:tc>
          <w:tcPr>
            <w:tcW w:type="dxa" w:w="67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Every outbound request passes through ScopeEnforcer.assert_in_scope() before dispatch. A scope violation raises OutOfScopeError and halts the request. No exceptions.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I-2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1A1A2E"/>
                <w:sz w:val="18"/>
                <w:szCs w:val="18"/>
              </w:rPr>
              <w:t xml:space="preserve">Policy-Checked Dispatch</w:t>
            </w:r>
          </w:p>
        </w:tc>
        <w:tc>
          <w:tcPr>
            <w:tcW w:type="dxa" w:w="67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Sensitive actions (T2b+) require ArbitrationEngine.evaluate() to return Verdict.APPROVE before execution. A VETO or unevaluated action is a hard block.</w:t>
            </w:r>
          </w:p>
        </w:tc>
      </w:tr>
      <w:tr>
        <w:tc>
          <w:tcPr>
            <w:tcW w:type="dxa" w:w="4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I-3</w:t>
            </w:r>
          </w:p>
        </w:tc>
        <w:tc>
          <w:tcPr>
            <w:tcW w:type="dxa" w:w="22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1A1A2E"/>
                <w:sz w:val="18"/>
                <w:szCs w:val="18"/>
              </w:rPr>
              <w:t xml:space="preserve">Decision-Ledger Commitment</w:t>
            </w:r>
          </w:p>
        </w:tc>
        <w:tc>
          <w:tcPr>
            <w:tcW w:type="dxa" w:w="67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Every material action (tool selection, escalation, concurrency batch, mutation) commits a DecisionPoint to the DecisionLedger before execution begins.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I-4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1A1A2E"/>
                <w:sz w:val="18"/>
                <w:szCs w:val="18"/>
              </w:rPr>
              <w:t xml:space="preserve">Event-Stream Emission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All state transitions emit a typed GraphEvent to EventBus. Events carry monotonic sequence IDs from GlobalSequenceAuthority. The UI is never the source of truth.</w:t>
            </w:r>
          </w:p>
        </w:tc>
      </w:tr>
      <w:tr>
        <w:tc>
          <w:tcPr>
            <w:tcW w:type="dxa" w:w="4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I-5</w:t>
            </w:r>
          </w:p>
        </w:tc>
        <w:tc>
          <w:tcPr>
            <w:tcW w:type="dxa" w:w="22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1A1A2E"/>
                <w:sz w:val="18"/>
                <w:szCs w:val="18"/>
              </w:rPr>
              <w:t xml:space="preserve">Budget Accounting</w:t>
            </w:r>
          </w:p>
        </w:tc>
        <w:tc>
          <w:tcPr>
            <w:tcW w:type="dxa" w:w="67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All requests consume from a CapabilityGate token pool. Budget exhaustion is a hard stop, not a warning. Per-module ceilings are explicit constructor parameters.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I-6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1A1A2E"/>
                <w:sz w:val="18"/>
                <w:szCs w:val="18"/>
              </w:rPr>
              <w:t xml:space="preserve">Deterministic Replay</w:t>
            </w:r>
          </w:p>
        </w:tc>
        <w:tc>
          <w:tcPr>
            <w:tcW w:type="dxa" w:w="67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Every module's execution can be reconstructed from its EventStore sequence. Given the same inputs and event sequence, re-execution produces structurally equivalent output.</w:t>
            </w:r>
          </w:p>
        </w:tc>
      </w:tr>
    </w:tbl>
    <w:p>
      <w:pPr>
        <w:spacing w:before="320" w:after="0"/>
      </w:pPr>
      <w:r>
        <w:rPr>
          <w:rFonts w:ascii="Arial" w:cs="Arial" w:eastAsia="Arial" w:hAnsi="Arial"/>
        </w:rPr>
        <w:t xml:space="preserve"/>
      </w:r>
    </w:p>
    <w:p>
      <w:pPr>
        <w:pStyle w:val="Heading3"/>
        <w:spacing w:before="280" w:after="100"/>
      </w:pPr>
      <w:r>
        <w:rPr>
          <w:rFonts w:ascii="Arial" w:cs="Arial" w:eastAsia="Arial" w:hAnsi="Arial"/>
          <w:b/>
          <w:bCs/>
          <w:color w:val="1A1A2E"/>
          <w:sz w:val="22"/>
          <w:szCs w:val="22"/>
        </w:rPr>
        <w:t xml:space="preserve">Integration Touchpoints (Required for All Modules)</w:t>
      </w:r>
    </w:p>
    <w:p>
      <w:pPr>
        <w:spacing w:before="80" w:after="0"/>
      </w:pPr>
      <w:r>
        <w:rPr>
          <w:rFonts w:ascii="Arial" w:cs="Arial" w:eastAsia="Arial" w:hAnsi="Arial"/>
        </w:rPr>
        <w:t xml:space="preserve"/>
      </w:r>
    </w:p>
    <w:p>
      <w:pPr>
        <w:spacing w:before="80" w:after="80"/>
      </w:pPr>
      <w:r>
        <w:rPr>
          <w:rFonts w:ascii="Arial" w:cs="Arial" w:eastAsia="Arial" w:hAnsi="Arial"/>
          <w:color w:val="0D0D0D"/>
          <w:sz w:val="20"/>
          <w:szCs w:val="20"/>
        </w:rPr>
        <w:t xml:space="preserve">The following existing Sentinel components are mandatory integration points for every feature in this proposal. No module bypasses them.</w:t>
      </w:r>
    </w:p>
    <w:p>
      <w:pPr>
        <w:spacing w:before="120" w:after="0"/>
      </w:pPr>
      <w:r>
        <w:rPr>
          <w:rFonts w:ascii="Arial" w:cs="Arial" w:eastAsia="Arial" w:hAnsi="Arial"/>
        </w:rPr>
        <w:t xml:space="preserve"/>
      </w:r>
    </w:p>
    <w:p>
      <w:pPr>
        <w:pStyle w:val="ListParagraph"/>
        <w:numPr>
          <w:ilvl w:val="0"/>
          <w:numId w:val="2"/>
        </w:numPr>
        <w:spacing w:before="60" w:after="60"/>
      </w:pPr>
      <w:r>
        <w:rPr>
          <w:rFonts w:ascii="Arial" w:cs="Arial" w:eastAsia="Arial" w:hAnsi="Arial"/>
          <w:b/>
          <w:bCs/>
          <w:color w:val="1A1A2E"/>
          <w:sz w:val="20"/>
          <w:szCs w:val="20"/>
        </w:rPr>
        <w:t xml:space="preserve">ExecutionPolicyRuntime — centralized HTTP transport with scope, rate, and budget enforcement</w:t>
      </w:r>
    </w:p>
    <w:p>
      <w:pPr>
        <w:pStyle w:val="ListParagraph"/>
        <w:numPr>
          <w:ilvl w:val="1"/>
          <w:numId w:val="2"/>
        </w:numPr>
        <w:spacing w:before="60" w:after="60"/>
      </w:pPr>
      <w:r>
        <w:rPr>
          <w:rFonts w:ascii="Arial" w:cs="Arial" w:eastAsia="Arial" w:hAnsi="Arial"/>
          <w:b w:val="false"/>
          <w:bCs w:val="false"/>
          <w:color w:val="0D0D0D"/>
          <w:sz w:val="20"/>
          <w:szCs w:val="20"/>
        </w:rPr>
        <w:t xml:space="preserve">ScopeEnforcer — URL validation against operator-defined inclusion/exclusion rules</w:t>
      </w:r>
    </w:p>
    <w:p>
      <w:pPr>
        <w:pStyle w:val="ListParagraph"/>
        <w:numPr>
          <w:ilvl w:val="1"/>
          <w:numId w:val="2"/>
        </w:numPr>
        <w:spacing w:before="60" w:after="60"/>
      </w:pPr>
      <w:r>
        <w:rPr>
          <w:rFonts w:ascii="Arial" w:cs="Arial" w:eastAsia="Arial" w:hAnsi="Arial"/>
          <w:b w:val="false"/>
          <w:bCs w:val="false"/>
          <w:color w:val="0D0D0D"/>
          <w:sz w:val="20"/>
          <w:szCs w:val="20"/>
        </w:rPr>
        <w:t xml:space="preserve">CapabilityGate — token-based request budget with per-tier cost accounting</w:t>
      </w:r>
    </w:p>
    <w:p>
      <w:pPr>
        <w:pStyle w:val="ListParagraph"/>
        <w:numPr>
          <w:ilvl w:val="0"/>
          <w:numId w:val="2"/>
        </w:numPr>
        <w:spacing w:before="60" w:after="60"/>
      </w:pPr>
      <w:r>
        <w:rPr>
          <w:rFonts w:ascii="Arial" w:cs="Arial" w:eastAsia="Arial" w:hAnsi="Arial"/>
          <w:b/>
          <w:bCs/>
          <w:color w:val="1A1A2E"/>
          <w:sz w:val="20"/>
          <w:szCs w:val="20"/>
        </w:rPr>
        <w:t xml:space="preserve">DecisionLedger + DecisionContext — append-only audit log for all material decisions</w:t>
      </w:r>
    </w:p>
    <w:p>
      <w:pPr>
        <w:pStyle w:val="ListParagraph"/>
        <w:numPr>
          <w:ilvl w:val="0"/>
          <w:numId w:val="2"/>
        </w:numPr>
        <w:spacing w:before="60" w:after="60"/>
      </w:pPr>
      <w:r>
        <w:rPr>
          <w:rFonts w:ascii="Arial" w:cs="Arial" w:eastAsia="Arial" w:hAnsi="Arial"/>
          <w:b/>
          <w:bCs/>
          <w:color w:val="1A1A2E"/>
          <w:sz w:val="20"/>
          <w:szCs w:val="20"/>
        </w:rPr>
        <w:t xml:space="preserve">GraphEventBus + EventStore — monotonic event stream for replay and UI synchronization</w:t>
      </w:r>
    </w:p>
    <w:p>
      <w:pPr>
        <w:pStyle w:val="ListParagraph"/>
        <w:numPr>
          <w:ilvl w:val="0"/>
          <w:numId w:val="2"/>
        </w:numPr>
        <w:spacing w:before="60" w:after="60"/>
      </w:pPr>
      <w:r>
        <w:rPr>
          <w:rFonts w:ascii="Arial" w:cs="Arial" w:eastAsia="Arial" w:hAnsi="Arial"/>
          <w:b/>
          <w:bCs/>
          <w:color w:val="1A1A2E"/>
          <w:sz w:val="20"/>
          <w:szCs w:val="20"/>
        </w:rPr>
        <w:t xml:space="preserve">ArbitrationEngine — policy evaluation for T2b+ actions before dispatch</w:t>
      </w:r>
    </w:p>
    <w:p>
      <w:pPr>
        <w:pStyle w:val="ListParagraph"/>
        <w:numPr>
          <w:ilvl w:val="0"/>
          <w:numId w:val="2"/>
        </w:numPr>
        <w:spacing w:before="60" w:after="60"/>
      </w:pPr>
      <w:r>
        <w:rPr>
          <w:rFonts w:ascii="Arial" w:cs="Arial" w:eastAsia="Arial" w:hAnsi="Arial"/>
          <w:b/>
          <w:bCs/>
          <w:color w:val="1A1A2E"/>
          <w:sz w:val="20"/>
          <w:szCs w:val="20"/>
        </w:rPr>
        <w:t xml:space="preserve">CapabilityTier system — tier classification gates what is permitted per execution mode</w:t>
      </w:r>
    </w:p>
    <w:p>
      <w:pPr>
        <w:pStyle w:val="ListParagraph"/>
        <w:numPr>
          <w:ilvl w:val="1"/>
          <w:numId w:val="2"/>
        </w:numPr>
        <w:spacing w:before="60" w:after="60"/>
      </w:pPr>
      <w:r>
        <w:rPr>
          <w:rFonts w:ascii="Arial" w:cs="Arial" w:eastAsia="Arial" w:hAnsi="Arial"/>
          <w:b w:val="false"/>
          <w:bCs w:val="false"/>
          <w:color w:val="0D0D0D"/>
          <w:sz w:val="20"/>
          <w:szCs w:val="20"/>
        </w:rPr>
        <w:t xml:space="preserve">RESEARCH mode: T0–T2a only. BOUNTY mode: T0–T4 with scope attestation.</w:t>
      </w:r>
    </w:p>
    <w:p>
      <w:pPr>
        <w:spacing w:before="200" w:after="0"/>
      </w:pPr>
      <w:r>
        <w:rPr>
          <w:rFonts w:ascii="Arial" w:cs="Arial" w:eastAsia="Arial" w:hAnsi="Arial"/>
        </w:rPr>
        <w:t xml:space="preserve"/>
      </w:r>
    </w:p>
    <w:p>
      <w:r>
        <w:br w:type="page"/>
      </w:r>
    </w:p>
    <w:p>
      <w:pPr>
        <w:pStyle w:val="Heading1"/>
        <w:shd w:fill="1A1A2E" w:val="clear"/>
        <w:spacing w:before="600" w:after="240"/>
      </w:pPr>
      <w:r>
        <w:rPr>
          <w:rFonts w:ascii="Arial" w:cs="Arial" w:eastAsia="Arial" w:hAnsi="Arial"/>
          <w:b/>
          <w:bCs/>
          <w:color w:val="FFFFFF"/>
          <w:sz w:val="36"/>
          <w:szCs w:val="36"/>
        </w:rPr>
        <w:t xml:space="preserve">  2. Decision Taxonomy Expansion</w:t>
      </w:r>
    </w:p>
    <w:p>
      <w:pPr>
        <w:spacing w:before="120" w:after="0"/>
      </w:pPr>
      <w:r>
        <w:rPr>
          <w:rFonts w:ascii="Arial" w:cs="Arial" w:eastAsia="Arial" w:hAnsi="Arial"/>
        </w:rPr>
        <w:t xml:space="preserve"/>
      </w:r>
    </w:p>
    <w:p>
      <w:pPr>
        <w:spacing w:before="80" w:after="80"/>
      </w:pPr>
      <w:r>
        <w:rPr>
          <w:rFonts w:ascii="Arial" w:cs="Arial" w:eastAsia="Arial" w:hAnsi="Arial"/>
          <w:color w:val="0D0D0D"/>
          <w:sz w:val="20"/>
          <w:szCs w:val="20"/>
        </w:rPr>
        <w:t xml:space="preserve">The existing DecisionType enum (10 types) requires the following additions to support the new modules. These additions extend the existing taxonomy without modifying existing variants.</w:t>
      </w:r>
    </w:p>
    <w:p>
      <w:pPr>
        <w:spacing w:before="1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New DecisionType</w:t>
            </w:r>
          </w:p>
        </w:tc>
        <w:tc>
          <w:tcPr>
            <w:tcW w:type="dxa" w:w="1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Emitted By</w:t>
            </w:r>
          </w:p>
        </w:tc>
        <w:tc>
          <w:tcPr>
            <w:tcW w:type="dxa" w:w="49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Semantics</w:t>
            </w:r>
          </w:p>
        </w:tc>
      </w:tr>
      <w:tr>
        <w:tc>
          <w:tcPr>
            <w:tcW w:type="dxa" w:w="28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CONCURRENCY_BATCH</w:t>
            </w:r>
          </w:p>
        </w:tc>
        <w:tc>
          <w:tcPr>
            <w:tcW w:type="dxa" w:w="16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RaceSequencer</w:t>
            </w:r>
          </w:p>
        </w:tc>
        <w:tc>
          <w:tcPr>
            <w:tcW w:type="dxa" w:w="49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Authorizes a batch of N concurrent requests. Commits before any request fires. Records batch size, target, timing window, and capability tier.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BEHAVIORAL_PROPAGATION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EquivChainEngine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Authorizes propagation of a confirmed finding fingerprint across additional endpoints. Records oracle source, fingerprint digest, and target surface count.</w:t>
            </w:r>
          </w:p>
        </w:tc>
      </w:tr>
      <w:tr>
        <w:tc>
          <w:tcPr>
            <w:tcW w:type="dxa" w:w="28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MUTATION_ESCALATION</w:t>
            </w:r>
          </w:p>
        </w:tc>
        <w:tc>
          <w:tcPr>
            <w:tcW w:type="dxa" w:w="16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ReplayMutator</w:t>
            </w:r>
          </w:p>
        </w:tc>
        <w:tc>
          <w:tcPr>
            <w:tcW w:type="dxa" w:w="49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Authorizes escalation from a confirmed GET exploit to mutating verbs (PUT/DELETE/PATCH). Requires T2b approval. Human gate in RESEARCH mode.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TRUST_PROBE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TrustBoundaryInferrer</w:t>
            </w:r>
          </w:p>
        </w:tc>
        <w:tc>
          <w:tcPr>
            <w:tcW w:type="dxa" w:w="49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Authorizes injection of a candidate trusted-parameter or header into a request. Records field name, injection site, and classification rationale.</w:t>
            </w:r>
          </w:p>
        </w:tc>
      </w:tr>
      <w:tr>
        <w:tc>
          <w:tcPr>
            <w:tcW w:type="dxa" w:w="28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SEMANTIC_HYPOTHESIS</w:t>
            </w:r>
          </w:p>
        </w:tc>
        <w:tc>
          <w:tcPr>
            <w:tcW w:type="dxa" w:w="16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AppSemanticModel</w:t>
            </w:r>
          </w:p>
        </w:tc>
        <w:tc>
          <w:tcPr>
            <w:tcW w:type="dxa" w:w="49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Commits a structural inference (entity discovered, relationship inferred, constraint learned). Records evidence source and confidence score.</w:t>
            </w:r>
          </w:p>
        </w:tc>
      </w:tr>
    </w:tbl>
    <w:p>
      <w:pPr>
        <w:spacing w:before="200" w:after="0"/>
      </w:pPr>
      <w:r>
        <w:rPr>
          <w:rFonts w:ascii="Arial" w:cs="Arial" w:eastAsia="Arial" w:hAnsi="Arial"/>
        </w:rPr>
        <w:t xml:space="preserve"/>
      </w:r>
    </w:p>
    <w:p>
      <w:r>
        <w:br w:type="page"/>
      </w:r>
    </w:p>
    <w:p>
      <w:pPr>
        <w:pStyle w:val="Heading1"/>
        <w:shd w:fill="1A1A2E" w:val="clear"/>
        <w:spacing w:before="600" w:after="240"/>
      </w:pPr>
      <w:r>
        <w:rPr>
          <w:rFonts w:ascii="Arial" w:cs="Arial" w:eastAsia="Arial" w:hAnsi="Arial"/>
          <w:b/>
          <w:bCs/>
          <w:color w:val="FFFFFF"/>
          <w:sz w:val="36"/>
          <w:szCs w:val="36"/>
        </w:rPr>
        <w:t xml:space="preserve">  3. Event Type Taxonomy Expansion</w:t>
      </w:r>
    </w:p>
    <w:p>
      <w:pPr>
        <w:spacing w:before="120" w:after="0"/>
      </w:pPr>
      <w:r>
        <w:rPr>
          <w:rFonts w:ascii="Arial" w:cs="Arial" w:eastAsia="Arial" w:hAnsi="Arial"/>
        </w:rPr>
        <w:t xml:space="preserve"/>
      </w:r>
    </w:p>
    <w:p>
      <w:pPr>
        <w:spacing w:before="80" w:after="80"/>
      </w:pPr>
      <w:r>
        <w:rPr>
          <w:rFonts w:ascii="Arial" w:cs="Arial" w:eastAsia="Arial" w:hAnsi="Arial"/>
          <w:color w:val="0D0D0D"/>
          <w:sz w:val="20"/>
          <w:szCs w:val="20"/>
        </w:rPr>
        <w:t xml:space="preserve">The following GraphEventType additions are required. All new events follow the existing envelope schema: monotonic sequence, run_id, scan_id, source, schema_version, payload_schema_version.</w:t>
      </w:r>
    </w:p>
    <w:p>
      <w:pPr>
        <w:spacing w:before="1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New EventType</w:t>
            </w:r>
          </w:p>
        </w:tc>
        <w:tc>
          <w:tcPr>
            <w:tcW w:type="dxa" w:w="1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Module</w:t>
            </w:r>
          </w:p>
        </w:tc>
        <w:tc>
          <w:tcPr>
            <w:tcW w:type="dxa" w:w="45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Emitted When</w:t>
            </w:r>
          </w:p>
        </w:tc>
      </w:tr>
      <w:tr>
        <w:tc>
          <w:tcPr>
            <w:tcW w:type="dxa" w:w="32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RACE_BATCH_DISPATCHED</w:t>
            </w:r>
          </w:p>
        </w:tc>
        <w:tc>
          <w:tcPr>
            <w:tcW w:type="dxa" w:w="16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RaceSequencer</w:t>
            </w:r>
          </w:p>
        </w:tc>
        <w:tc>
          <w:tcPr>
            <w:tcW w:type="dxa" w:w="45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N concurrent coroutines have been scheduled. Payload: batch_id, count, target_url, window_ms, decision_id.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RACE_DIVERGENCE_DETECTED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RaceSequencer</w:t>
            </w:r>
          </w:p>
        </w:tc>
        <w:tc>
          <w:tcPr>
            <w:tcW w:type="dxa" w:w="4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Response set contains statistically significant divergence. Payload: batch_id, success_count, divergence_signature, confidence.</w:t>
            </w:r>
          </w:p>
        </w:tc>
      </w:tr>
      <w:tr>
        <w:tc>
          <w:tcPr>
            <w:tcW w:type="dxa" w:w="32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RACE_FINDING_CONFIRMED</w:t>
            </w:r>
          </w:p>
        </w:tc>
        <w:tc>
          <w:tcPr>
            <w:tcW w:type="dxa" w:w="16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RaceSequencer</w:t>
            </w:r>
          </w:p>
        </w:tc>
        <w:tc>
          <w:tcPr>
            <w:tcW w:type="dxa" w:w="45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Race condition confirmed across M reproducible runs. Payload: finding_id, reproductions, evidence_bundle_ref.</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EQUIV_FINGERPRINT_EXTRACTED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EquivChainEngine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Behavioral fingerprint extracted from confirmed oracle. Payload: oracle_finding_id, fingerprint_digest, field_delta_schema.</w:t>
            </w:r>
          </w:p>
        </w:tc>
      </w:tr>
      <w:tr>
        <w:tc>
          <w:tcPr>
            <w:tcW w:type="dxa" w:w="32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EQUIV_MATCH_FOUND</w:t>
            </w:r>
          </w:p>
        </w:tc>
        <w:tc>
          <w:tcPr>
            <w:tcW w:type="dxa" w:w="16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EquivChainEngine</w:t>
            </w:r>
          </w:p>
        </w:tc>
        <w:tc>
          <w:tcPr>
            <w:tcW w:type="dxa" w:w="45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Endpoint exhibits equivalent behavioral signature. Payload: source_finding_id, matched_endpoint, confidence, delta.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TRUST_FIELD_IDENTIFIED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TrustBoundaryInferrer</w:t>
            </w:r>
          </w:p>
        </w:tc>
        <w:tc>
          <w:tcPr>
            <w:tcW w:type="dxa" w:w="4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Candidate client-trusted field identified. Payload: field_name, location, classification, evidence_type.</w:t>
            </w:r>
          </w:p>
        </w:tc>
      </w:tr>
      <w:tr>
        <w:tc>
          <w:tcPr>
            <w:tcW w:type="dxa" w:w="32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TRUST_INJECTION_CONFIRMED</w:t>
            </w:r>
          </w:p>
        </w:tc>
        <w:tc>
          <w:tcPr>
            <w:tcW w:type="dxa" w:w="16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TrustBoundaryInferrer</w:t>
            </w:r>
          </w:p>
        </w:tc>
        <w:tc>
          <w:tcPr>
            <w:tcW w:type="dxa" w:w="45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Field injection produced privileged response delta. Payload: field_name, request_ref, response_delta, severity.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REPLAY_VERB_ESCALATED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ReplayMutator</w:t>
            </w:r>
          </w:p>
        </w:tc>
        <w:tc>
          <w:tcPr>
            <w:tcW w:type="dxa" w:w="4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Exploit confirmed on additional HTTP verb. Payload: source_finding_id, verb, new_finding_id, severity_delta.</w:t>
            </w:r>
          </w:p>
        </w:tc>
      </w:tr>
      <w:tr>
        <w:tc>
          <w:tcPr>
            <w:tcW w:type="dxa" w:w="32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REPLAY_SURFACE_EXPANDED</w:t>
            </w:r>
          </w:p>
        </w:tc>
        <w:tc>
          <w:tcPr>
            <w:tcW w:type="dxa" w:w="16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ReplayMutator</w:t>
            </w:r>
          </w:p>
        </w:tc>
        <w:tc>
          <w:tcPr>
            <w:tcW w:type="dxa" w:w="45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Exploit confirmed on additional object type or endpoint variant. Payload: source_finding_id, target_endpoint, finding_id.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ASM_ENTITY_INFERRED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AppSemanticModel</w:t>
            </w:r>
          </w:p>
        </w:tc>
        <w:tc>
          <w:tcPr>
            <w:tcW w:type="dxa" w:w="4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Object entity inferred from endpoint surface. Payload: entity_name, source_endpoints, confidence.</w:t>
            </w:r>
          </w:p>
        </w:tc>
      </w:tr>
      <w:tr>
        <w:tc>
          <w:tcPr>
            <w:tcW w:type="dxa" w:w="32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ASM_RELATIONSHIP_MAPPED</w:t>
            </w:r>
          </w:p>
        </w:tc>
        <w:tc>
          <w:tcPr>
            <w:tcW w:type="dxa" w:w="16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AppSemanticModel</w:t>
            </w:r>
          </w:p>
        </w:tc>
        <w:tc>
          <w:tcPr>
            <w:tcW w:type="dxa" w:w="45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Ownership relationship inferred between entities. Payload: parent_entity, child_entity, evidence_field.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ASM_CONSTRAINT_LEARNED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AppSemanticModel</w:t>
            </w:r>
          </w:p>
        </w:tc>
        <w:tc>
          <w:tcPr>
            <w:tcW w:type="dxa" w:w="4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Input constraint learned via binary search. Payload: endpoint, param, constraint_type, boundary_value.</w:t>
            </w:r>
          </w:p>
        </w:tc>
      </w:tr>
    </w:tbl>
    <w:p>
      <w:pPr>
        <w:spacing w:before="200" w:after="0"/>
      </w:pPr>
      <w:r>
        <w:rPr>
          <w:rFonts w:ascii="Arial" w:cs="Arial" w:eastAsia="Arial" w:hAnsi="Arial"/>
        </w:rPr>
        <w:t xml:space="preserve"/>
      </w:r>
    </w:p>
    <w:p>
      <w:r>
        <w:br w:type="page"/>
      </w:r>
    </w:p>
    <w:p>
      <w:r>
        <w:br w:type="page"/>
      </w:r>
    </w:p>
    <w:p>
      <w:pPr>
        <w:shd w:fill="2471A3" w:val="clear"/>
        <w:spacing w:before="480" w:after="0"/>
      </w:pPr>
      <w:r>
        <w:rPr>
          <w:rFonts w:ascii="Arial" w:cs="Arial" w:eastAsia="Arial" w:hAnsi="Arial"/>
          <w:b/>
          <w:bCs/>
          <w:color w:val="FFFFFF"/>
          <w:sz w:val="32"/>
          <w:szCs w:val="32"/>
        </w:rPr>
        <w:t xml:space="preserve">FEATURE 1  </w:t>
      </w:r>
      <w:r>
        <w:rPr>
          <w:rFonts w:ascii="Arial" w:cs="Arial" w:eastAsia="Arial" w:hAnsi="Arial"/>
          <w:b/>
          <w:bCs/>
          <w:color w:val="FFFFFF"/>
          <w:sz w:val="32"/>
          <w:szCs w:val="32"/>
        </w:rPr>
        <w:t xml:space="preserve">Behavioral Equivalence Chain Engine</w:t>
      </w:r>
    </w:p>
    <w:p>
      <w:pPr>
        <w:shd w:fill="1A1A2E" w:val="clear"/>
        <w:spacing w:before="0" w:after="280"/>
      </w:pPr>
      <w:r>
        <w:rPr>
          <w:rFonts w:ascii="Arial" w:cs="Arial" w:eastAsia="Arial" w:hAnsi="Arial"/>
          <w:i/>
          <w:iCs/>
          <w:color w:val="FFFFFF"/>
          <w:sz w:val="18"/>
          <w:szCs w:val="18"/>
        </w:rPr>
        <w:t xml:space="preserve">  Capability Tier: T2a (read-only propagation)    Integration Class: Core Module</w:t>
      </w:r>
    </w:p>
    <w:p>
      <w:pPr>
        <w:pStyle w:val="Heading3"/>
        <w:spacing w:before="280" w:after="100"/>
      </w:pPr>
      <w:r>
        <w:rPr>
          <w:rFonts w:ascii="Arial" w:cs="Arial" w:eastAsia="Arial" w:hAnsi="Arial"/>
          <w:b/>
          <w:bCs/>
          <w:color w:val="2471A3"/>
          <w:sz w:val="22"/>
          <w:szCs w:val="22"/>
        </w:rPr>
        <w:t xml:space="preserve">What It Solves</w:t>
      </w:r>
    </w:p>
    <w:p>
      <w:pPr>
        <w:spacing w:before="80" w:after="80"/>
      </w:pPr>
      <w:r>
        <w:rPr>
          <w:rFonts w:ascii="Arial" w:cs="Arial" w:eastAsia="Arial" w:hAnsi="Arial"/>
          <w:color w:val="0D0D0D"/>
          <w:sz w:val="20"/>
          <w:szCs w:val="20"/>
        </w:rPr>
        <w:t xml:space="preserve">A confirmed finding on one endpoint is currently a dead end. There is no mechanism to propagate that oracle across the attack surface to detect structurally equivalent vulnerabilities. Hunters check two or three endpoints by hand and miss ten. This module makes that failure mode impossible.</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2471A3"/>
          <w:sz w:val="22"/>
          <w:szCs w:val="22"/>
        </w:rPr>
        <w:t xml:space="preserve">How It Works</w:t>
      </w:r>
    </w:p>
    <w:p>
      <w:pPr>
        <w:spacing w:before="80" w:after="80"/>
      </w:pPr>
      <w:r>
        <w:rPr>
          <w:rFonts w:ascii="Arial" w:cs="Arial" w:eastAsia="Arial" w:hAnsi="Arial"/>
          <w:color w:val="0D0D0D"/>
          <w:sz w:val="20"/>
          <w:szCs w:val="20"/>
        </w:rPr>
        <w:t xml:space="preserve">When VulnVerifier emits a confirmed finding (FINDING_CREATED with confidence &gt;= 0.85), the EquivChainEngine subscribes to that event and extracts a behavioral fingerprint from the evidence bundle. The fingerprint is a structural delta signature: the normalized diff between the unauthorized and authorized response bodies, status code transition, and header delta vector. It is not the payload. It is the behavioral output.</w:t>
      </w:r>
    </w:p>
    <w:p>
      <w:pPr>
        <w:spacing w:before="80" w:after="0"/>
      </w:pPr>
      <w:r>
        <w:rPr>
          <w:rFonts w:ascii="Arial" w:cs="Arial" w:eastAsia="Arial" w:hAnsi="Arial"/>
        </w:rPr>
        <w:t xml:space="preserve"/>
      </w:r>
    </w:p>
    <w:p>
      <w:pPr>
        <w:spacing w:before="80" w:after="80"/>
      </w:pPr>
      <w:r>
        <w:rPr>
          <w:rFonts w:ascii="Arial" w:cs="Arial" w:eastAsia="Arial" w:hAnsi="Arial"/>
          <w:color w:val="0D0D0D"/>
          <w:sz w:val="20"/>
          <w:szCs w:val="20"/>
        </w:rPr>
        <w:t xml:space="preserve">The engine then replays the confirmed exploit pattern against every endpoint in the SurfaceRegistry for the current scan, routing each request through ExecutionPolicyRuntime with T2a authorization. Endpoints that exhibit equivalent behavioral signature are clustered into a systemic finding with the original as the oracle source.</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2471A3"/>
          <w:sz w:val="22"/>
          <w:szCs w:val="22"/>
        </w:rPr>
        <w:t xml:space="preserve">Canonical Integration</w:t>
      </w:r>
    </w:p>
    <w:p>
      <w:pPr>
        <w:spacing w:before="200" w:after="80"/>
      </w:pPr>
      <w:r>
        <w:rPr>
          <w:rFonts w:ascii="Arial" w:cs="Arial" w:eastAsia="Arial" w:hAnsi="Arial"/>
          <w:b/>
          <w:bCs/>
          <w:caps/>
          <w:color w:val="555555"/>
          <w:sz w:val="20"/>
          <w:szCs w:val="20"/>
        </w:rPr>
        <w:t xml:space="preserve">ExecutionPolicyRuntime</w:t>
      </w:r>
    </w:p>
    <w:p>
      <w:pPr>
        <w:pStyle w:val="ListParagraph"/>
        <w:numPr>
          <w:ilvl w:val="0"/>
          <w:numId w:val="2"/>
        </w:numPr>
        <w:spacing w:before="60" w:after="60"/>
      </w:pPr>
      <w:r>
        <w:rPr>
          <w:rFonts w:ascii="Arial" w:cs="Arial" w:eastAsia="Arial" w:hAnsi="Arial"/>
          <w:b w:val="false"/>
          <w:bCs w:val="false"/>
          <w:color w:val="0D0D0D"/>
          <w:sz w:val="20"/>
          <w:szCs w:val="20"/>
        </w:rPr>
        <w:t xml:space="preserve">All propagation requests route through execute_http() with T2a tier</w:t>
      </w:r>
    </w:p>
    <w:p>
      <w:pPr>
        <w:pStyle w:val="ListParagraph"/>
        <w:numPr>
          <w:ilvl w:val="0"/>
          <w:numId w:val="2"/>
        </w:numPr>
        <w:spacing w:before="60" w:after="60"/>
      </w:pPr>
      <w:r>
        <w:rPr>
          <w:rFonts w:ascii="Arial" w:cs="Arial" w:eastAsia="Arial" w:hAnsi="Arial"/>
          <w:b w:val="false"/>
          <w:bCs w:val="false"/>
          <w:color w:val="0D0D0D"/>
          <w:sz w:val="20"/>
          <w:szCs w:val="20"/>
        </w:rPr>
        <w:t xml:space="preserve">Rate limiting and budget consumption are enforced per the active CapabilityGate</w:t>
      </w:r>
    </w:p>
    <w:p>
      <w:pPr>
        <w:pStyle w:val="ListParagraph"/>
        <w:numPr>
          <w:ilvl w:val="0"/>
          <w:numId w:val="2"/>
        </w:numPr>
        <w:spacing w:before="60" w:after="60"/>
      </w:pPr>
      <w:r>
        <w:rPr>
          <w:rFonts w:ascii="Arial" w:cs="Arial" w:eastAsia="Arial" w:hAnsi="Arial"/>
          <w:b w:val="false"/>
          <w:bCs w:val="false"/>
          <w:color w:val="0D0D0D"/>
          <w:sz w:val="20"/>
          <w:szCs w:val="20"/>
        </w:rPr>
        <w:t xml:space="preserve">Scope enforcement runs on every candidate endpoint before dispatch</w:t>
      </w:r>
    </w:p>
    <w:p>
      <w:pPr>
        <w:spacing w:before="200" w:after="80"/>
      </w:pPr>
      <w:r>
        <w:rPr>
          <w:rFonts w:ascii="Arial" w:cs="Arial" w:eastAsia="Arial" w:hAnsi="Arial"/>
          <w:b/>
          <w:bCs/>
          <w:caps/>
          <w:color w:val="555555"/>
          <w:sz w:val="20"/>
          <w:szCs w:val="20"/>
        </w:rPr>
        <w:t xml:space="preserve">DecisionLedger</w:t>
      </w:r>
    </w:p>
    <w:p>
      <w:pPr>
        <w:pStyle w:val="ListParagraph"/>
        <w:numPr>
          <w:ilvl w:val="0"/>
          <w:numId w:val="2"/>
        </w:numPr>
        <w:spacing w:before="60" w:after="60"/>
      </w:pPr>
      <w:r>
        <w:rPr>
          <w:rFonts w:ascii="Arial" w:cs="Arial" w:eastAsia="Arial" w:hAnsi="Arial"/>
          <w:b w:val="false"/>
          <w:bCs w:val="false"/>
          <w:color w:val="0D0D0D"/>
          <w:sz w:val="20"/>
          <w:szCs w:val="20"/>
        </w:rPr>
        <w:t xml:space="preserve">A BEHAVIORAL_PROPAGATION DecisionPoint is committed before propagation begins</w:t>
      </w:r>
    </w:p>
    <w:p>
      <w:pPr>
        <w:pStyle w:val="ListParagraph"/>
        <w:numPr>
          <w:ilvl w:val="0"/>
          <w:numId w:val="2"/>
        </w:numPr>
        <w:spacing w:before="60" w:after="60"/>
      </w:pPr>
      <w:r>
        <w:rPr>
          <w:rFonts w:ascii="Arial" w:cs="Arial" w:eastAsia="Arial" w:hAnsi="Arial"/>
          <w:b w:val="false"/>
          <w:bCs w:val="false"/>
          <w:color w:val="0D0D0D"/>
          <w:sz w:val="20"/>
          <w:szCs w:val="20"/>
        </w:rPr>
        <w:t xml:space="preserve">Records: oracle_finding_id, fingerprint_digest, candidate_count, budget_allocated</w:t>
      </w:r>
    </w:p>
    <w:p>
      <w:pPr>
        <w:pStyle w:val="ListParagraph"/>
        <w:numPr>
          <w:ilvl w:val="0"/>
          <w:numId w:val="2"/>
        </w:numPr>
        <w:spacing w:before="60" w:after="60"/>
      </w:pPr>
      <w:r>
        <w:rPr>
          <w:rFonts w:ascii="Arial" w:cs="Arial" w:eastAsia="Arial" w:hAnsi="Arial"/>
          <w:b w:val="false"/>
          <w:bCs w:val="false"/>
          <w:color w:val="0D0D0D"/>
          <w:sz w:val="20"/>
          <w:szCs w:val="20"/>
        </w:rPr>
        <w:t xml:space="preserve">Each match commits a child DecisionPoint with parent_id pointing to the propagation decision</w:t>
      </w:r>
    </w:p>
    <w:p>
      <w:pPr>
        <w:spacing w:before="200" w:after="80"/>
      </w:pPr>
      <w:r>
        <w:rPr>
          <w:rFonts w:ascii="Arial" w:cs="Arial" w:eastAsia="Arial" w:hAnsi="Arial"/>
          <w:b/>
          <w:bCs/>
          <w:caps/>
          <w:color w:val="555555"/>
          <w:sz w:val="20"/>
          <w:szCs w:val="20"/>
        </w:rPr>
        <w:t xml:space="preserve">EventBus</w:t>
      </w:r>
    </w:p>
    <w:p>
      <w:pPr>
        <w:pStyle w:val="ListParagraph"/>
        <w:numPr>
          <w:ilvl w:val="0"/>
          <w:numId w:val="2"/>
        </w:numPr>
        <w:spacing w:before="60" w:after="60"/>
      </w:pPr>
      <w:r>
        <w:rPr>
          <w:rFonts w:ascii="Arial" w:cs="Arial" w:eastAsia="Arial" w:hAnsi="Arial"/>
          <w:b w:val="false"/>
          <w:bCs w:val="false"/>
          <w:color w:val="0D0D0D"/>
          <w:sz w:val="20"/>
          <w:szCs w:val="20"/>
        </w:rPr>
        <w:t xml:space="preserve">EQUIV_FINGERPRINT_EXTRACTED emitted when fingerprint is computed</w:t>
      </w:r>
    </w:p>
    <w:p>
      <w:pPr>
        <w:pStyle w:val="ListParagraph"/>
        <w:numPr>
          <w:ilvl w:val="0"/>
          <w:numId w:val="2"/>
        </w:numPr>
        <w:spacing w:before="60" w:after="60"/>
      </w:pPr>
      <w:r>
        <w:rPr>
          <w:rFonts w:ascii="Arial" w:cs="Arial" w:eastAsia="Arial" w:hAnsi="Arial"/>
          <w:b w:val="false"/>
          <w:bCs w:val="false"/>
          <w:color w:val="0D0D0D"/>
          <w:sz w:val="20"/>
          <w:szCs w:val="20"/>
        </w:rPr>
        <w:t xml:space="preserve">EQUIV_MATCH_FOUND emitted per confirmed equivalent endpoint</w:t>
      </w:r>
    </w:p>
    <w:p>
      <w:pPr>
        <w:pStyle w:val="ListParagraph"/>
        <w:numPr>
          <w:ilvl w:val="0"/>
          <w:numId w:val="2"/>
        </w:numPr>
        <w:spacing w:before="60" w:after="60"/>
      </w:pPr>
      <w:r>
        <w:rPr>
          <w:rFonts w:ascii="Arial" w:cs="Arial" w:eastAsia="Arial" w:hAnsi="Arial"/>
          <w:b w:val="false"/>
          <w:bCs w:val="false"/>
          <w:color w:val="0D0D0D"/>
          <w:sz w:val="20"/>
          <w:szCs w:val="20"/>
        </w:rPr>
        <w:t xml:space="preserve">FINDING_CREATED emitted for each new finding with oracle_finding_id in context</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2471A3"/>
          <w:sz w:val="22"/>
          <w:szCs w:val="22"/>
        </w:rPr>
        <w:t xml:space="preserve">Determinism Guarantee</w:t>
      </w:r>
    </w:p>
    <w:p>
      <w:pPr>
        <w:spacing w:before="80" w:after="80"/>
      </w:pPr>
      <w:r>
        <w:rPr>
          <w:rFonts w:ascii="Arial" w:cs="Arial" w:eastAsia="Arial" w:hAnsi="Arial"/>
          <w:color w:val="0D0D0D"/>
          <w:sz w:val="20"/>
          <w:szCs w:val="20"/>
        </w:rPr>
        <w:t xml:space="preserve">The fingerprint is a SHA-256 digest of the normalized delta structure. Given the same response pair, the same fingerprint is always produced. The fingerprint schema is versioned (EvidenceBundleVersion). Replaying the EventStore sequence from EQUIV_FINGERPRINT_EXTRACTED through all EQUIV_MATCH_FOUND events fully reconstructs the propagation run.</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2471A3"/>
          <w:sz w:val="22"/>
          <w:szCs w:val="22"/>
        </w:rPr>
        <w:t xml:space="preserve">False Positive Suppression</w:t>
      </w:r>
    </w:p>
    <w:p>
      <w:pPr>
        <w:pStyle w:val="ListParagraph"/>
        <w:numPr>
          <w:ilvl w:val="0"/>
          <w:numId w:val="2"/>
        </w:numPr>
        <w:spacing w:before="60" w:after="60"/>
      </w:pPr>
      <w:r>
        <w:rPr>
          <w:rFonts w:ascii="Arial" w:cs="Arial" w:eastAsia="Arial" w:hAnsi="Arial"/>
          <w:b w:val="false"/>
          <w:bCs w:val="false"/>
          <w:color w:val="0D0D0D"/>
          <w:sz w:val="20"/>
          <w:szCs w:val="20"/>
        </w:rPr>
        <w:t xml:space="preserve">Minimum confidence threshold: 0.80 on the oracle before propagation fires</w:t>
      </w:r>
    </w:p>
    <w:p>
      <w:pPr>
        <w:pStyle w:val="ListParagraph"/>
        <w:numPr>
          <w:ilvl w:val="0"/>
          <w:numId w:val="2"/>
        </w:numPr>
        <w:spacing w:before="60" w:after="60"/>
      </w:pPr>
      <w:r>
        <w:rPr>
          <w:rFonts w:ascii="Arial" w:cs="Arial" w:eastAsia="Arial" w:hAnsi="Arial"/>
          <w:b w:val="false"/>
          <w:bCs w:val="false"/>
          <w:color w:val="0D0D0D"/>
          <w:sz w:val="20"/>
          <w:szCs w:val="20"/>
        </w:rPr>
        <w:t xml:space="preserve">Structural match requires: status delta match AND body delta schema match AND minimum body size (&gt;100 bytes)</w:t>
      </w:r>
    </w:p>
    <w:p>
      <w:pPr>
        <w:pStyle w:val="ListParagraph"/>
        <w:numPr>
          <w:ilvl w:val="0"/>
          <w:numId w:val="2"/>
        </w:numPr>
        <w:spacing w:before="60" w:after="60"/>
      </w:pPr>
      <w:r>
        <w:rPr>
          <w:rFonts w:ascii="Arial" w:cs="Arial" w:eastAsia="Arial" w:hAnsi="Arial"/>
          <w:b w:val="false"/>
          <w:bCs w:val="false"/>
          <w:color w:val="0D0D0D"/>
          <w:sz w:val="20"/>
          <w:szCs w:val="20"/>
        </w:rPr>
        <w:t xml:space="preserve">Load balancer artifact detection: if &gt;80% of candidates match, the fingerprint is too broad and is discarded</w:t>
      </w:r>
    </w:p>
    <w:p>
      <w:pPr>
        <w:pStyle w:val="ListParagraph"/>
        <w:numPr>
          <w:ilvl w:val="0"/>
          <w:numId w:val="2"/>
        </w:numPr>
        <w:spacing w:before="60" w:after="60"/>
      </w:pPr>
      <w:r>
        <w:rPr>
          <w:rFonts w:ascii="Arial" w:cs="Arial" w:eastAsia="Arial" w:hAnsi="Arial"/>
          <w:b w:val="false"/>
          <w:bCs w:val="false"/>
          <w:color w:val="0D0D0D"/>
          <w:sz w:val="20"/>
          <w:szCs w:val="20"/>
        </w:rPr>
        <w:t xml:space="preserve">Dedup: the existing deduplication layer in FINDING_CREATED processing suppresses duplicate findings per endpoint</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2471A3"/>
          <w:sz w:val="22"/>
          <w:szCs w:val="22"/>
        </w:rPr>
        <w:t xml:space="preserve">Module Location</w:t>
      </w:r>
    </w:p>
    <w:p>
      <w:pPr>
        <w:shd w:fill="F0F0F0" w:val="clear"/>
        <w:spacing w:before="20" w:after="20"/>
        <w:ind w:left="360"/>
      </w:pPr>
      <w:r>
        <w:rPr>
          <w:rFonts w:ascii="Courier New" w:cs="Courier New" w:eastAsia="Courier New" w:hAnsi="Courier New"/>
          <w:color w:val="1A1A2E"/>
          <w:sz w:val="18"/>
          <w:szCs w:val="18"/>
        </w:rPr>
        <w:t xml:space="preserve">core/wraith/equiv_chain.py</w:t>
      </w:r>
    </w:p>
    <w:p>
      <w:pPr>
        <w:shd w:fill="F0F0F0" w:val="clear"/>
        <w:spacing w:before="20" w:after="20"/>
        <w:ind w:left="360"/>
      </w:pPr>
      <w:r>
        <w:rPr>
          <w:rFonts w:ascii="Courier New" w:cs="Courier New" w:eastAsia="Courier New" w:hAnsi="Courier New"/>
          <w:color w:val="1A1A2E"/>
          <w:sz w:val="18"/>
          <w:szCs w:val="18"/>
        </w:rPr>
        <w:t xml:space="preserve">  class EquivChainEngine</w:t>
      </w:r>
    </w:p>
    <w:p>
      <w:pPr>
        <w:shd w:fill="F0F0F0" w:val="clear"/>
        <w:spacing w:before="20" w:after="20"/>
        <w:ind w:left="360"/>
      </w:pPr>
      <w:r>
        <w:rPr>
          <w:rFonts w:ascii="Courier New" w:cs="Courier New" w:eastAsia="Courier New" w:hAnsi="Courier New"/>
          <w:color w:val="1A1A2E"/>
          <w:sz w:val="18"/>
          <w:szCs w:val="18"/>
        </w:rPr>
        <w:t xml:space="preserve">  class BehavioralFingerprint</w:t>
      </w:r>
    </w:p>
    <w:p>
      <w:pPr>
        <w:shd w:fill="F0F0F0" w:val="clear"/>
        <w:spacing w:before="20" w:after="20"/>
        <w:ind w:left="360"/>
      </w:pPr>
      <w:r>
        <w:rPr>
          <w:rFonts w:ascii="Courier New" w:cs="Courier New" w:eastAsia="Courier New" w:hAnsi="Courier New"/>
          <w:color w:val="1A1A2E"/>
          <w:sz w:val="18"/>
          <w:szCs w:val="18"/>
        </w:rPr>
        <w:t xml:space="preserve">  class EquivChainResult</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2471A3"/>
          <w:sz w:val="22"/>
          <w:szCs w:val="22"/>
        </w:rPr>
        <w:t xml:space="preserve">Estimate</w:t>
      </w:r>
    </w:p>
    <w:p>
      <w:pPr>
        <w:pStyle w:val="ListParagraph"/>
        <w:numPr>
          <w:ilvl w:val="0"/>
          <w:numId w:val="2"/>
        </w:numPr>
        <w:spacing w:before="60" w:after="60"/>
      </w:pPr>
      <w:r>
        <w:rPr>
          <w:rFonts w:ascii="Arial" w:cs="Arial" w:eastAsia="Arial" w:hAnsi="Arial"/>
          <w:b w:val="false"/>
          <w:bCs w:val="false"/>
          <w:color w:val="0D0D0D"/>
          <w:sz w:val="20"/>
          <w:szCs w:val="20"/>
        </w:rPr>
        <w:t xml:space="preserve">Engineering: 2 weeks</w:t>
      </w:r>
    </w:p>
    <w:p>
      <w:pPr>
        <w:pStyle w:val="ListParagraph"/>
        <w:numPr>
          <w:ilvl w:val="0"/>
          <w:numId w:val="2"/>
        </w:numPr>
        <w:spacing w:before="60" w:after="60"/>
      </w:pPr>
      <w:r>
        <w:rPr>
          <w:rFonts w:ascii="Arial" w:cs="Arial" w:eastAsia="Arial" w:hAnsi="Arial"/>
          <w:b w:val="false"/>
          <w:bCs w:val="false"/>
          <w:color w:val="0D0D0D"/>
          <w:sz w:val="20"/>
          <w:szCs w:val="20"/>
        </w:rPr>
        <w:t xml:space="preserve">Complexity: Medium — builds on existing VulnVerifier, SurfaceRegistry, ExecutionPolicyRuntime</w:t>
      </w:r>
    </w:p>
    <w:p>
      <w:pPr>
        <w:pStyle w:val="ListParagraph"/>
        <w:numPr>
          <w:ilvl w:val="0"/>
          <w:numId w:val="2"/>
        </w:numPr>
        <w:spacing w:before="60" w:after="60"/>
      </w:pPr>
      <w:r>
        <w:rPr>
          <w:rFonts w:ascii="Arial" w:cs="Arial" w:eastAsia="Arial" w:hAnsi="Arial"/>
          <w:b w:val="false"/>
          <w:bCs w:val="false"/>
          <w:color w:val="0D0D0D"/>
          <w:sz w:val="20"/>
          <w:szCs w:val="20"/>
        </w:rPr>
        <w:t xml:space="preserve">Risk: Low — read-only propagation, no T2b+ actions</w:t>
      </w:r>
    </w:p>
    <w:p>
      <w:r>
        <w:br w:type="page"/>
      </w:r>
    </w:p>
    <w:p>
      <w:pPr>
        <w:shd w:fill="C0392B" w:val="clear"/>
        <w:spacing w:before="480" w:after="0"/>
      </w:pPr>
      <w:r>
        <w:rPr>
          <w:rFonts w:ascii="Arial" w:cs="Arial" w:eastAsia="Arial" w:hAnsi="Arial"/>
          <w:b/>
          <w:bCs/>
          <w:color w:val="FFFFFF"/>
          <w:sz w:val="32"/>
          <w:szCs w:val="32"/>
        </w:rPr>
        <w:t xml:space="preserve">FEATURE 2  </w:t>
      </w:r>
      <w:r>
        <w:rPr>
          <w:rFonts w:ascii="Arial" w:cs="Arial" w:eastAsia="Arial" w:hAnsi="Arial"/>
          <w:b/>
          <w:bCs/>
          <w:color w:val="FFFFFF"/>
          <w:sz w:val="32"/>
          <w:szCs w:val="32"/>
        </w:rPr>
        <w:t xml:space="preserve">Temporal State Attack Sequencer</w:t>
      </w:r>
    </w:p>
    <w:p>
      <w:pPr>
        <w:shd w:fill="1A1A2E" w:val="clear"/>
        <w:spacing w:before="0" w:after="280"/>
      </w:pPr>
      <w:r>
        <w:rPr>
          <w:rFonts w:ascii="Arial" w:cs="Arial" w:eastAsia="Arial" w:hAnsi="Arial"/>
          <w:i/>
          <w:iCs/>
          <w:color w:val="FFFFFF"/>
          <w:sz w:val="18"/>
          <w:szCs w:val="18"/>
        </w:rPr>
        <w:t xml:space="preserve">  Capability Tier: T2b (mutating — scope-attested)    Integration Class: Core Module</w:t>
      </w:r>
    </w:p>
    <w:p>
      <w:pPr>
        <w:pStyle w:val="Heading3"/>
        <w:spacing w:before="280" w:after="100"/>
      </w:pPr>
      <w:r>
        <w:rPr>
          <w:rFonts w:ascii="Arial" w:cs="Arial" w:eastAsia="Arial" w:hAnsi="Arial"/>
          <w:b/>
          <w:bCs/>
          <w:color w:val="C0392B"/>
          <w:sz w:val="22"/>
          <w:szCs w:val="22"/>
        </w:rPr>
        <w:t xml:space="preserve">What It Solves</w:t>
      </w:r>
    </w:p>
    <w:p>
      <w:pPr>
        <w:spacing w:before="80" w:after="80"/>
      </w:pPr>
      <w:r>
        <w:rPr>
          <w:rFonts w:ascii="Arial" w:cs="Arial" w:eastAsia="Arial" w:hAnsi="Arial"/>
          <w:color w:val="0D0D0D"/>
          <w:sz w:val="20"/>
          <w:szCs w:val="20"/>
        </w:rPr>
        <w:t xml:space="preserve">Race conditions, TOCTOU violations, and double-spend vulnerabilities are the highest-paying bug class in fintech and gaming programs. Every existing scanner is stateless by design — it fires one request and reads one response. It cannot model time as an attack surface. This module does.</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C0392B"/>
          <w:sz w:val="22"/>
          <w:szCs w:val="22"/>
        </w:rPr>
        <w:t xml:space="preserve">How It Works</w:t>
      </w:r>
    </w:p>
    <w:p>
      <w:pPr>
        <w:spacing w:before="80" w:after="80"/>
      </w:pPr>
      <w:r>
        <w:rPr>
          <w:rFonts w:ascii="Arial" w:cs="Arial" w:eastAsia="Arial" w:hAnsi="Arial"/>
          <w:color w:val="0D0D0D"/>
          <w:sz w:val="20"/>
          <w:szCs w:val="20"/>
        </w:rPr>
        <w:t xml:space="preserve">The RaceSequencer identifies check-then-act patterns by analyzing endpoint behavior: if a state-modifying endpoint (POST/PUT) has a corresponding state-read endpoint that reflects the modification, there is a potential race window between the check and the act. The sequencer models this as a StateMachineNode with a check_op and a commit_op.</w:t>
      </w:r>
    </w:p>
    <w:p>
      <w:pPr>
        <w:spacing w:before="80" w:after="0"/>
      </w:pPr>
      <w:r>
        <w:rPr>
          <w:rFonts w:ascii="Arial" w:cs="Arial" w:eastAsia="Arial" w:hAnsi="Arial"/>
        </w:rPr>
        <w:t xml:space="preserve"/>
      </w:r>
    </w:p>
    <w:p>
      <w:pPr>
        <w:spacing w:before="80" w:after="80"/>
      </w:pPr>
      <w:r>
        <w:rPr>
          <w:rFonts w:ascii="Arial" w:cs="Arial" w:eastAsia="Arial" w:hAnsi="Arial"/>
          <w:color w:val="0D0D0D"/>
          <w:sz w:val="20"/>
          <w:szCs w:val="20"/>
        </w:rPr>
        <w:t xml:space="preserve">Once a candidate window is identified, the sequencer fires a batch of N concurrent asyncio tasks — all targeting the commit_op — within a configurable timing window (default 5ms). The batch is structured as a ConcurrencyBatch object with a batch_id. Responses are collected and analyzed for divergence: two 200 OKs where only one should succeed is a confirmed race.</w:t>
      </w:r>
    </w:p>
    <w:p>
      <w:pPr>
        <w:spacing w:before="80" w:after="0"/>
      </w:pPr>
      <w:r>
        <w:rPr>
          <w:rFonts w:ascii="Arial" w:cs="Arial" w:eastAsia="Arial" w:hAnsi="Arial"/>
        </w:rPr>
        <w:t xml:space="preserve"/>
      </w:r>
    </w:p>
    <w:p>
      <w:pPr>
        <w:spacing w:before="80" w:after="80"/>
      </w:pPr>
      <w:r>
        <w:rPr>
          <w:rFonts w:ascii="Arial" w:cs="Arial" w:eastAsia="Arial" w:hAnsi="Arial"/>
          <w:color w:val="0D0D0D"/>
          <w:sz w:val="20"/>
          <w:szCs w:val="20"/>
        </w:rPr>
        <w:t xml:space="preserve">Confirmation requires M reproducible successful runs (default: 3) to eliminate false positives from server-side load balancing or retry artifacts. The evidence bundle includes request timestamps at monotonic clock resolution, all response bodies, and the resource state before and after.</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C0392B"/>
          <w:sz w:val="22"/>
          <w:szCs w:val="22"/>
        </w:rPr>
        <w:t xml:space="preserve">Canonical Integration</w:t>
      </w:r>
    </w:p>
    <w:p>
      <w:pPr>
        <w:spacing w:before="200" w:after="80"/>
      </w:pPr>
      <w:r>
        <w:rPr>
          <w:rFonts w:ascii="Arial" w:cs="Arial" w:eastAsia="Arial" w:hAnsi="Arial"/>
          <w:b/>
          <w:bCs/>
          <w:caps/>
          <w:color w:val="555555"/>
          <w:sz w:val="20"/>
          <w:szCs w:val="20"/>
        </w:rPr>
        <w:t xml:space="preserve">ExecutionPolicyRuntime — Critical Path</w:t>
      </w:r>
    </w:p>
    <w:p>
      <w:pPr>
        <w:spacing w:before="80" w:after="80"/>
        <w:ind w:left="360"/>
      </w:pPr>
      <w:r>
        <w:rPr>
          <w:rFonts w:ascii="Arial" w:cs="Arial" w:eastAsia="Arial" w:hAnsi="Arial"/>
          <w:color w:val="0D0D0D"/>
          <w:sz w:val="20"/>
          <w:szCs w:val="20"/>
        </w:rPr>
        <w:t xml:space="preserve">This is the most important integration in this proposal. Every coroutine in a concurrency batch must route through execute_http(). There is no shortcut. The rate_limit_ms parameter is temporarily suspended for batch members (they must fire concurrently) but budget consumption still applies: each request deducts from CapabilityGate. The batch is represented as a single T2b action for ArbitrationEngine evaluation — one CONCURRENCY_BATCH decision authorizes the entire batch.</w:t>
      </w:r>
    </w:p>
    <w:p>
      <w:pPr>
        <w:spacing w:before="80" w:after="0"/>
      </w:pPr>
      <w:r>
        <w:rPr>
          <w:rFonts w:ascii="Arial" w:cs="Arial" w:eastAsia="Arial" w:hAnsi="Arial"/>
        </w:rPr>
        <w:t xml:space="preserve"/>
      </w:r>
    </w:p>
    <w:p>
      <w:pPr>
        <w:spacing w:before="200" w:after="80"/>
      </w:pPr>
      <w:r>
        <w:rPr>
          <w:rFonts w:ascii="Arial" w:cs="Arial" w:eastAsia="Arial" w:hAnsi="Arial"/>
          <w:b/>
          <w:bCs/>
          <w:caps/>
          <w:color w:val="555555"/>
          <w:sz w:val="20"/>
          <w:szCs w:val="20"/>
        </w:rPr>
        <w:t xml:space="preserve">DecisionLedger — Pre-Execution Gate</w:t>
      </w:r>
    </w:p>
    <w:p>
      <w:pPr>
        <w:pStyle w:val="ListParagraph"/>
        <w:numPr>
          <w:ilvl w:val="0"/>
          <w:numId w:val="2"/>
        </w:numPr>
        <w:spacing w:before="60" w:after="60"/>
      </w:pPr>
      <w:r>
        <w:rPr>
          <w:rFonts w:ascii="Arial" w:cs="Arial" w:eastAsia="Arial" w:hAnsi="Arial"/>
          <w:b w:val="false"/>
          <w:bCs w:val="false"/>
          <w:color w:val="0D0D0D"/>
          <w:sz w:val="20"/>
          <w:szCs w:val="20"/>
        </w:rPr>
        <w:t xml:space="preserve">A CONCURRENCY_BATCH DecisionPoint is committed before a single coroutine is scheduled</w:t>
      </w:r>
    </w:p>
    <w:p>
      <w:pPr>
        <w:pStyle w:val="ListParagraph"/>
        <w:numPr>
          <w:ilvl w:val="0"/>
          <w:numId w:val="2"/>
        </w:numPr>
        <w:spacing w:before="60" w:after="60"/>
      </w:pPr>
      <w:r>
        <w:rPr>
          <w:rFonts w:ascii="Arial" w:cs="Arial" w:eastAsia="Arial" w:hAnsi="Arial"/>
          <w:b w:val="false"/>
          <w:bCs w:val="false"/>
          <w:color w:val="0D0D0D"/>
          <w:sz w:val="20"/>
          <w:szCs w:val="20"/>
        </w:rPr>
        <w:t xml:space="preserve">Fields: batch_id, target_url, batch_size, timing_window_ms, capability_tier=T2b, scope_attested=True</w:t>
      </w:r>
    </w:p>
    <w:p>
      <w:pPr>
        <w:pStyle w:val="ListParagraph"/>
        <w:numPr>
          <w:ilvl w:val="0"/>
          <w:numId w:val="2"/>
        </w:numPr>
        <w:spacing w:before="60" w:after="60"/>
      </w:pPr>
      <w:r>
        <w:rPr>
          <w:rFonts w:ascii="Arial" w:cs="Arial" w:eastAsia="Arial" w:hAnsi="Arial"/>
          <w:b w:val="false"/>
          <w:bCs w:val="false"/>
          <w:color w:val="0D0D0D"/>
          <w:sz w:val="20"/>
          <w:szCs w:val="20"/>
        </w:rPr>
        <w:t xml:space="preserve">If ArbitrationEngine returns VETO, no requests fire. Hard stop.</w:t>
      </w:r>
    </w:p>
    <w:p>
      <w:pPr>
        <w:pStyle w:val="ListParagraph"/>
        <w:numPr>
          <w:ilvl w:val="0"/>
          <w:numId w:val="2"/>
        </w:numPr>
        <w:spacing w:before="60" w:after="60"/>
      </w:pPr>
      <w:r>
        <w:rPr>
          <w:rFonts w:ascii="Arial" w:cs="Arial" w:eastAsia="Arial" w:hAnsi="Arial"/>
          <w:b w:val="false"/>
          <w:bCs w:val="false"/>
          <w:color w:val="0D0D0D"/>
          <w:sz w:val="20"/>
          <w:szCs w:val="20"/>
        </w:rPr>
        <w:t xml:space="preserve">RESEARCH mode: VETO is automatic. Concurrency batches require BOUNTY mode.</w:t>
      </w:r>
    </w:p>
    <w:p>
      <w:pPr>
        <w:spacing w:before="200" w:after="80"/>
      </w:pPr>
      <w:r>
        <w:rPr>
          <w:rFonts w:ascii="Arial" w:cs="Arial" w:eastAsia="Arial" w:hAnsi="Arial"/>
          <w:b/>
          <w:bCs/>
          <w:caps/>
          <w:color w:val="555555"/>
          <w:sz w:val="20"/>
          <w:szCs w:val="20"/>
        </w:rPr>
        <w:t xml:space="preserve">Human Escalation Gate</w:t>
      </w:r>
    </w:p>
    <w:p>
      <w:pPr>
        <w:pStyle w:val="ListParagraph"/>
        <w:numPr>
          <w:ilvl w:val="0"/>
          <w:numId w:val="2"/>
        </w:numPr>
        <w:spacing w:before="60" w:after="60"/>
      </w:pPr>
      <w:r>
        <w:rPr>
          <w:rFonts w:ascii="Arial" w:cs="Arial" w:eastAsia="Arial" w:hAnsi="Arial"/>
          <w:b w:val="false"/>
          <w:bCs w:val="false"/>
          <w:color w:val="0D0D0D"/>
          <w:sz w:val="20"/>
          <w:szCs w:val="20"/>
        </w:rPr>
        <w:t xml:space="preserve">In BOUNTY mode, CONCURRENCY_BATCH decisions with batch_size &gt; 20 emit a DECISION_MADE event with requires_acknowledgment=True</w:t>
      </w:r>
    </w:p>
    <w:p>
      <w:pPr>
        <w:pStyle w:val="ListParagraph"/>
        <w:numPr>
          <w:ilvl w:val="0"/>
          <w:numId w:val="2"/>
        </w:numPr>
        <w:spacing w:before="60" w:after="60"/>
      </w:pPr>
      <w:r>
        <w:rPr>
          <w:rFonts w:ascii="Arial" w:cs="Arial" w:eastAsia="Arial" w:hAnsi="Arial"/>
          <w:b w:val="false"/>
          <w:bCs w:val="false"/>
          <w:color w:val="0D0D0D"/>
          <w:sz w:val="20"/>
          <w:szCs w:val="20"/>
        </w:rPr>
        <w:t xml:space="preserve">The UI surfaces an acknowledgment prompt before the batch fires</w:t>
      </w:r>
    </w:p>
    <w:p>
      <w:pPr>
        <w:pStyle w:val="ListParagraph"/>
        <w:numPr>
          <w:ilvl w:val="0"/>
          <w:numId w:val="2"/>
        </w:numPr>
        <w:spacing w:before="60" w:after="60"/>
      </w:pPr>
      <w:r>
        <w:rPr>
          <w:rFonts w:ascii="Arial" w:cs="Arial" w:eastAsia="Arial" w:hAnsi="Arial"/>
          <w:b w:val="false"/>
          <w:bCs w:val="false"/>
          <w:color w:val="0D0D0D"/>
          <w:sz w:val="20"/>
          <w:szCs w:val="20"/>
        </w:rPr>
        <w:t xml:space="preserve">This is the human-in-the-loop gate for high-intrusiveness actions</w:t>
      </w:r>
    </w:p>
    <w:p>
      <w:pPr>
        <w:spacing w:before="200" w:after="80"/>
      </w:pPr>
      <w:r>
        <w:rPr>
          <w:rFonts w:ascii="Arial" w:cs="Arial" w:eastAsia="Arial" w:hAnsi="Arial"/>
          <w:b/>
          <w:bCs/>
          <w:caps/>
          <w:color w:val="555555"/>
          <w:sz w:val="20"/>
          <w:szCs w:val="20"/>
        </w:rPr>
        <w:t xml:space="preserve">EventBus</w:t>
      </w:r>
    </w:p>
    <w:p>
      <w:pPr>
        <w:pStyle w:val="ListParagraph"/>
        <w:numPr>
          <w:ilvl w:val="0"/>
          <w:numId w:val="2"/>
        </w:numPr>
        <w:spacing w:before="60" w:after="60"/>
      </w:pPr>
      <w:r>
        <w:rPr>
          <w:rFonts w:ascii="Arial" w:cs="Arial" w:eastAsia="Arial" w:hAnsi="Arial"/>
          <w:b w:val="false"/>
          <w:bCs w:val="false"/>
          <w:color w:val="0D0D0D"/>
          <w:sz w:val="20"/>
          <w:szCs w:val="20"/>
        </w:rPr>
        <w:t xml:space="preserve">RACE_BATCH_DISPATCHED: payload includes batch_id, coroutine count, monotonic timestamps</w:t>
      </w:r>
    </w:p>
    <w:p>
      <w:pPr>
        <w:pStyle w:val="ListParagraph"/>
        <w:numPr>
          <w:ilvl w:val="0"/>
          <w:numId w:val="2"/>
        </w:numPr>
        <w:spacing w:before="60" w:after="60"/>
      </w:pPr>
      <w:r>
        <w:rPr>
          <w:rFonts w:ascii="Arial" w:cs="Arial" w:eastAsia="Arial" w:hAnsi="Arial"/>
          <w:b w:val="false"/>
          <w:bCs w:val="false"/>
          <w:color w:val="0D0D0D"/>
          <w:sz w:val="20"/>
          <w:szCs w:val="20"/>
        </w:rPr>
        <w:t xml:space="preserve">RACE_DIVERGENCE_DETECTED: emitted when response set shows divergence</w:t>
      </w:r>
    </w:p>
    <w:p>
      <w:pPr>
        <w:pStyle w:val="ListParagraph"/>
        <w:numPr>
          <w:ilvl w:val="0"/>
          <w:numId w:val="2"/>
        </w:numPr>
        <w:spacing w:before="60" w:after="60"/>
      </w:pPr>
      <w:r>
        <w:rPr>
          <w:rFonts w:ascii="Arial" w:cs="Arial" w:eastAsia="Arial" w:hAnsi="Arial"/>
          <w:b w:val="false"/>
          <w:bCs w:val="false"/>
          <w:color w:val="0D0D0D"/>
          <w:sz w:val="20"/>
          <w:szCs w:val="20"/>
        </w:rPr>
        <w:t xml:space="preserve">RACE_FINDING_CONFIRMED: emitted after M reproductions, triggers evidence bundle assembly</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C0392B"/>
          <w:sz w:val="22"/>
          <w:szCs w:val="22"/>
        </w:rPr>
        <w:t xml:space="preserve">Determinism and Replay</w:t>
      </w:r>
    </w:p>
    <w:p>
      <w:pPr>
        <w:spacing w:before="80" w:after="80"/>
      </w:pPr>
      <w:r>
        <w:rPr>
          <w:rFonts w:ascii="Arial" w:cs="Arial" w:eastAsia="Arial" w:hAnsi="Arial"/>
          <w:color w:val="0D0D0D"/>
          <w:sz w:val="20"/>
          <w:szCs w:val="20"/>
        </w:rPr>
        <w:t xml:space="preserve">The event sequence RACE_BATCH_DISPATCHED → RACE_DIVERGENCE_DETECTED → RACE_FINDING_CONFIRMED is fully replayable. The evidence bundle stored at RACE_FINDING_CONFIRMED contains the complete request/response corpus with monotonic timestamps. Re-running the sequencer with the same ConcurrencyBatch parameters produces structurally equivalent results (within timing jitter bounds, which are recorded in the bundle).</w:t>
      </w:r>
    </w:p>
    <w:p>
      <w:pPr>
        <w:spacing w:before="80" w:after="0"/>
      </w:pPr>
      <w:r>
        <w:rPr>
          <w:rFonts w:ascii="Arial" w:cs="Arial" w:eastAsia="Arial" w:hAnsi="Arial"/>
        </w:rPr>
        <w:t xml:space="preserve"/>
      </w:r>
    </w:p>
    <w:p>
      <w:pPr>
        <w:pBdr>
          <w:left w:val="single" w:color="C0392B" w:sz="14" w:space="10"/>
        </w:pBdr>
        <w:spacing w:before="140" w:after="140"/>
        <w:ind w:left="360"/>
      </w:pPr>
      <w:r>
        <w:rPr>
          <w:rFonts w:ascii="Arial" w:cs="Arial" w:eastAsia="Arial" w:hAnsi="Arial"/>
          <w:b/>
          <w:bCs/>
          <w:color w:val="C0392B"/>
          <w:sz w:val="20"/>
          <w:szCs w:val="20"/>
        </w:rPr>
        <w:t xml:space="preserve">Jitter Compensation:  </w:t>
      </w:r>
      <w:r>
        <w:rPr>
          <w:rFonts w:ascii="Arial" w:cs="Arial" w:eastAsia="Arial" w:hAnsi="Arial"/>
          <w:color w:val="0D0D0D"/>
          <w:sz w:val="20"/>
          <w:szCs w:val="20"/>
        </w:rPr>
        <w:t xml:space="preserve">The sequencer records observed timing jitter per run and includes it in the evidence bundle. Reviewers can verify that the concurrency window was within the race window even accounting for system clock resolution limits.</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C0392B"/>
          <w:sz w:val="22"/>
          <w:szCs w:val="22"/>
        </w:rPr>
        <w:t xml:space="preserve">False Positive Suppression</w:t>
      </w:r>
    </w:p>
    <w:p>
      <w:pPr>
        <w:pStyle w:val="ListParagraph"/>
        <w:numPr>
          <w:ilvl w:val="0"/>
          <w:numId w:val="2"/>
        </w:numPr>
        <w:spacing w:before="60" w:after="60"/>
      </w:pPr>
      <w:r>
        <w:rPr>
          <w:rFonts w:ascii="Arial" w:cs="Arial" w:eastAsia="Arial" w:hAnsi="Arial"/>
          <w:b w:val="false"/>
          <w:bCs w:val="false"/>
          <w:color w:val="0D0D0D"/>
          <w:sz w:val="20"/>
          <w:szCs w:val="20"/>
        </w:rPr>
        <w:t xml:space="preserve">Minimum M=3 reproducible runs required for confirmation</w:t>
      </w:r>
    </w:p>
    <w:p>
      <w:pPr>
        <w:pStyle w:val="ListParagraph"/>
        <w:numPr>
          <w:ilvl w:val="0"/>
          <w:numId w:val="2"/>
        </w:numPr>
        <w:spacing w:before="60" w:after="60"/>
      </w:pPr>
      <w:r>
        <w:rPr>
          <w:rFonts w:ascii="Arial" w:cs="Arial" w:eastAsia="Arial" w:hAnsi="Arial"/>
          <w:b w:val="false"/>
          <w:bCs w:val="false"/>
          <w:color w:val="0D0D0D"/>
          <w:sz w:val="20"/>
          <w:szCs w:val="20"/>
        </w:rPr>
        <w:t xml:space="preserve">Eventual consistency detection: if a re-check 500ms post-batch shows single-success state, likely not a race</w:t>
      </w:r>
    </w:p>
    <w:p>
      <w:pPr>
        <w:pStyle w:val="ListParagraph"/>
        <w:numPr>
          <w:ilvl w:val="0"/>
          <w:numId w:val="2"/>
        </w:numPr>
        <w:spacing w:before="60" w:after="60"/>
      </w:pPr>
      <w:r>
        <w:rPr>
          <w:rFonts w:ascii="Arial" w:cs="Arial" w:eastAsia="Arial" w:hAnsi="Arial"/>
          <w:b w:val="false"/>
          <w:bCs w:val="false"/>
          <w:color w:val="0D0D0D"/>
          <w:sz w:val="20"/>
          <w:szCs w:val="20"/>
        </w:rPr>
        <w:t xml:space="preserve">Load balancer artifact detection: divergence must show success/success split, not success/different-server-error</w:t>
      </w:r>
    </w:p>
    <w:p>
      <w:pPr>
        <w:pStyle w:val="ListParagraph"/>
        <w:numPr>
          <w:ilvl w:val="0"/>
          <w:numId w:val="2"/>
        </w:numPr>
        <w:spacing w:before="60" w:after="60"/>
      </w:pPr>
      <w:r>
        <w:rPr>
          <w:rFonts w:ascii="Arial" w:cs="Arial" w:eastAsia="Arial" w:hAnsi="Arial"/>
          <w:b w:val="false"/>
          <w:bCs w:val="false"/>
          <w:color w:val="0D0D0D"/>
          <w:sz w:val="20"/>
          <w:szCs w:val="20"/>
        </w:rPr>
        <w:t xml:space="preserve">Statistical confidence floor: p &lt; 0.05 on divergence likelihood before RACE_FINDING_CONFIRMED is emitted</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C0392B"/>
          <w:sz w:val="22"/>
          <w:szCs w:val="22"/>
        </w:rPr>
        <w:t xml:space="preserve">Resource Ceilings (Constructor Parameters)</w:t>
      </w:r>
    </w:p>
    <w:p>
      <w:pPr>
        <w:shd w:fill="F0F0F0" w:val="clear"/>
        <w:spacing w:before="20" w:after="20"/>
        <w:ind w:left="360"/>
      </w:pPr>
      <w:r>
        <w:rPr>
          <w:rFonts w:ascii="Courier New" w:cs="Courier New" w:eastAsia="Courier New" w:hAnsi="Courier New"/>
          <w:color w:val="1A1A2E"/>
          <w:sz w:val="18"/>
          <w:szCs w:val="18"/>
        </w:rPr>
        <w:t xml:space="preserve">class RaceSequencer:</w:t>
      </w:r>
    </w:p>
    <w:p>
      <w:pPr>
        <w:shd w:fill="F0F0F0" w:val="clear"/>
        <w:spacing w:before="20" w:after="20"/>
        <w:ind w:left="360"/>
      </w:pPr>
      <w:r>
        <w:rPr>
          <w:rFonts w:ascii="Courier New" w:cs="Courier New" w:eastAsia="Courier New" w:hAnsi="Courier New"/>
          <w:color w:val="1A1A2E"/>
          <w:sz w:val="18"/>
          <w:szCs w:val="18"/>
        </w:rPr>
        <w:t xml:space="preserve">    max_batch_size: int = 50        # hard ceiling on concurrent coroutines</w:t>
      </w:r>
    </w:p>
    <w:p>
      <w:pPr>
        <w:shd w:fill="F0F0F0" w:val="clear"/>
        <w:spacing w:before="20" w:after="20"/>
        <w:ind w:left="360"/>
      </w:pPr>
      <w:r>
        <w:rPr>
          <w:rFonts w:ascii="Courier New" w:cs="Courier New" w:eastAsia="Courier New" w:hAnsi="Courier New"/>
          <w:color w:val="1A1A2E"/>
          <w:sz w:val="18"/>
          <w:szCs w:val="18"/>
        </w:rPr>
        <w:t xml:space="preserve">    max_batches_per_endpoint: int = 5  # reproduction runs</w:t>
      </w:r>
    </w:p>
    <w:p>
      <w:pPr>
        <w:shd w:fill="F0F0F0" w:val="clear"/>
        <w:spacing w:before="20" w:after="20"/>
        <w:ind w:left="360"/>
      </w:pPr>
      <w:r>
        <w:rPr>
          <w:rFonts w:ascii="Courier New" w:cs="Courier New" w:eastAsia="Courier New" w:hAnsi="Courier New"/>
          <w:color w:val="1A1A2E"/>
          <w:sz w:val="18"/>
          <w:szCs w:val="18"/>
        </w:rPr>
        <w:t xml:space="preserve">    timing_window_ms: int = 5        # concurrency window</w:t>
      </w:r>
    </w:p>
    <w:p>
      <w:pPr>
        <w:shd w:fill="F0F0F0" w:val="clear"/>
        <w:spacing w:before="20" w:after="20"/>
        <w:ind w:left="360"/>
      </w:pPr>
      <w:r>
        <w:rPr>
          <w:rFonts w:ascii="Courier New" w:cs="Courier New" w:eastAsia="Courier New" w:hAnsi="Courier New"/>
          <w:color w:val="1A1A2E"/>
          <w:sz w:val="18"/>
          <w:szCs w:val="18"/>
        </w:rPr>
        <w:t xml:space="preserve">    min_reproductions: int = 3       # confirmation threshold</w:t>
      </w:r>
    </w:p>
    <w:p>
      <w:pPr>
        <w:shd w:fill="F0F0F0" w:val="clear"/>
        <w:spacing w:before="20" w:after="20"/>
        <w:ind w:left="360"/>
      </w:pPr>
      <w:r>
        <w:rPr>
          <w:rFonts w:ascii="Courier New" w:cs="Courier New" w:eastAsia="Courier New" w:hAnsi="Courier New"/>
          <w:color w:val="1A1A2E"/>
          <w:sz w:val="18"/>
          <w:szCs w:val="18"/>
        </w:rPr>
        <w:t xml:space="preserve">    budget_per_batch: int = 20       # CapabilityGate tokens consumed per batch</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C0392B"/>
          <w:sz w:val="22"/>
          <w:szCs w:val="22"/>
        </w:rPr>
        <w:t xml:space="preserve">Module Location</w:t>
      </w:r>
    </w:p>
    <w:p>
      <w:pPr>
        <w:shd w:fill="F0F0F0" w:val="clear"/>
        <w:spacing w:before="20" w:after="20"/>
        <w:ind w:left="360"/>
      </w:pPr>
      <w:r>
        <w:rPr>
          <w:rFonts w:ascii="Courier New" w:cs="Courier New" w:eastAsia="Courier New" w:hAnsi="Courier New"/>
          <w:color w:val="1A1A2E"/>
          <w:sz w:val="18"/>
          <w:szCs w:val="18"/>
        </w:rPr>
        <w:t xml:space="preserve">core/wraith/race/</w:t>
      </w:r>
    </w:p>
    <w:p>
      <w:pPr>
        <w:shd w:fill="F0F0F0" w:val="clear"/>
        <w:spacing w:before="20" w:after="20"/>
        <w:ind w:left="360"/>
      </w:pPr>
      <w:r>
        <w:rPr>
          <w:rFonts w:ascii="Courier New" w:cs="Courier New" w:eastAsia="Courier New" w:hAnsi="Courier New"/>
          <w:color w:val="1A1A2E"/>
          <w:sz w:val="18"/>
          <w:szCs w:val="18"/>
        </w:rPr>
        <w:t xml:space="preserve">  sequencer.py   — RaceSequencer, ConcurrencyBatch, StateMachineNode</w:t>
      </w:r>
    </w:p>
    <w:p>
      <w:pPr>
        <w:shd w:fill="F0F0F0" w:val="clear"/>
        <w:spacing w:before="20" w:after="20"/>
        <w:ind w:left="360"/>
      </w:pPr>
      <w:r>
        <w:rPr>
          <w:rFonts w:ascii="Courier New" w:cs="Courier New" w:eastAsia="Courier New" w:hAnsi="Courier New"/>
          <w:color w:val="1A1A2E"/>
          <w:sz w:val="18"/>
          <w:szCs w:val="18"/>
        </w:rPr>
        <w:t xml:space="preserve">  analyzer.py    — DivergenceAnalyzer, RaceEvidence</w:t>
      </w:r>
    </w:p>
    <w:p>
      <w:pPr>
        <w:shd w:fill="F0F0F0" w:val="clear"/>
        <w:spacing w:before="20" w:after="20"/>
        <w:ind w:left="360"/>
      </w:pPr>
      <w:r>
        <w:rPr>
          <w:rFonts w:ascii="Courier New" w:cs="Courier New" w:eastAsia="Courier New" w:hAnsi="Courier New"/>
          <w:color w:val="1A1A2E"/>
          <w:sz w:val="18"/>
          <w:szCs w:val="18"/>
        </w:rPr>
        <w:t xml:space="preserve">  tool.py        — RaceSequencerTool (MCP-compatible wrapper)</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C0392B"/>
          <w:sz w:val="22"/>
          <w:szCs w:val="22"/>
        </w:rPr>
        <w:t xml:space="preserve">Estimate</w:t>
      </w:r>
    </w:p>
    <w:p>
      <w:pPr>
        <w:pStyle w:val="ListParagraph"/>
        <w:numPr>
          <w:ilvl w:val="0"/>
          <w:numId w:val="2"/>
        </w:numPr>
        <w:spacing w:before="60" w:after="60"/>
      </w:pPr>
      <w:r>
        <w:rPr>
          <w:rFonts w:ascii="Arial" w:cs="Arial" w:eastAsia="Arial" w:hAnsi="Arial"/>
          <w:b w:val="false"/>
          <w:bCs w:val="false"/>
          <w:color w:val="0D0D0D"/>
          <w:sz w:val="20"/>
          <w:szCs w:val="20"/>
        </w:rPr>
        <w:t xml:space="preserve">Engineering: 3 weeks</w:t>
      </w:r>
    </w:p>
    <w:p>
      <w:pPr>
        <w:pStyle w:val="ListParagraph"/>
        <w:numPr>
          <w:ilvl w:val="0"/>
          <w:numId w:val="2"/>
        </w:numPr>
        <w:spacing w:before="60" w:after="60"/>
      </w:pPr>
      <w:r>
        <w:rPr>
          <w:rFonts w:ascii="Arial" w:cs="Arial" w:eastAsia="Arial" w:hAnsi="Arial"/>
          <w:b w:val="false"/>
          <w:bCs w:val="false"/>
          <w:color w:val="0D0D0D"/>
          <w:sz w:val="20"/>
          <w:szCs w:val="20"/>
        </w:rPr>
        <w:t xml:space="preserve">Complexity: High — asyncio concurrency scheduling, statistical divergence analysis, T2b policy integration</w:t>
      </w:r>
    </w:p>
    <w:p>
      <w:pPr>
        <w:pStyle w:val="ListParagraph"/>
        <w:numPr>
          <w:ilvl w:val="0"/>
          <w:numId w:val="2"/>
        </w:numPr>
        <w:spacing w:before="60" w:after="60"/>
      </w:pPr>
      <w:r>
        <w:rPr>
          <w:rFonts w:ascii="Arial" w:cs="Arial" w:eastAsia="Arial" w:hAnsi="Arial"/>
          <w:b w:val="false"/>
          <w:bCs w:val="false"/>
          <w:color w:val="0D0D0D"/>
          <w:sz w:val="20"/>
          <w:szCs w:val="20"/>
        </w:rPr>
        <w:t xml:space="preserve">Risk: Medium — strictly gated by human escalation prompt and ArbitrationEngine evaluation</w:t>
      </w:r>
    </w:p>
    <w:p>
      <w:r>
        <w:br w:type="page"/>
      </w:r>
    </w:p>
    <w:p>
      <w:pPr>
        <w:shd w:fill="6C3483" w:val="clear"/>
        <w:spacing w:before="480" w:after="0"/>
      </w:pPr>
      <w:r>
        <w:rPr>
          <w:rFonts w:ascii="Arial" w:cs="Arial" w:eastAsia="Arial" w:hAnsi="Arial"/>
          <w:b/>
          <w:bCs/>
          <w:color w:val="FFFFFF"/>
          <w:sz w:val="32"/>
          <w:szCs w:val="32"/>
        </w:rPr>
        <w:t xml:space="preserve">FEATURE 3  </w:t>
      </w:r>
      <w:r>
        <w:rPr>
          <w:rFonts w:ascii="Arial" w:cs="Arial" w:eastAsia="Arial" w:hAnsi="Arial"/>
          <w:b/>
          <w:bCs/>
          <w:color w:val="FFFFFF"/>
          <w:sz w:val="32"/>
          <w:szCs w:val="32"/>
        </w:rPr>
        <w:t xml:space="preserve">Exploit Replay Mutation Engine</w:t>
      </w:r>
    </w:p>
    <w:p>
      <w:pPr>
        <w:shd w:fill="1A1A2E" w:val="clear"/>
        <w:spacing w:before="0" w:after="280"/>
      </w:pPr>
      <w:r>
        <w:rPr>
          <w:rFonts w:ascii="Arial" w:cs="Arial" w:eastAsia="Arial" w:hAnsi="Arial"/>
          <w:i/>
          <w:iCs/>
          <w:color w:val="FFFFFF"/>
          <w:sz w:val="18"/>
          <w:szCs w:val="18"/>
        </w:rPr>
        <w:t xml:space="preserve">  Capability Tier: T2b–T3 (verb-gated, human-escalated)    Integration Class: Core Module</w:t>
      </w:r>
    </w:p>
    <w:p>
      <w:pPr>
        <w:pStyle w:val="Heading3"/>
        <w:spacing w:before="280" w:after="100"/>
      </w:pPr>
      <w:r>
        <w:rPr>
          <w:rFonts w:ascii="Arial" w:cs="Arial" w:eastAsia="Arial" w:hAnsi="Arial"/>
          <w:b/>
          <w:bCs/>
          <w:color w:val="6C3483"/>
          <w:sz w:val="22"/>
          <w:szCs w:val="22"/>
        </w:rPr>
        <w:t xml:space="preserve">What It Solves</w:t>
      </w:r>
    </w:p>
    <w:p>
      <w:pPr>
        <w:spacing w:before="80" w:after="80"/>
      </w:pPr>
      <w:r>
        <w:rPr>
          <w:rFonts w:ascii="Arial" w:cs="Arial" w:eastAsia="Arial" w:hAnsi="Arial"/>
          <w:color w:val="0D0D0D"/>
          <w:sz w:val="20"/>
          <w:szCs w:val="20"/>
        </w:rPr>
        <w:t xml:space="preserve">A confirmed finding is the starting point, not the end point. A GET IDOR confirmed on one endpoint should immediately trigger a systematic expansion: other HTTP verbs, other object types, other endpoint versions, WAF bypass variants. Without this, hunters manually check a fraction of the surface and submit a P3 instead of a P1. This module closes that gap automatically.</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6C3483"/>
          <w:sz w:val="22"/>
          <w:szCs w:val="22"/>
        </w:rPr>
        <w:t xml:space="preserve">How It Works</w:t>
      </w:r>
    </w:p>
    <w:p>
      <w:pPr>
        <w:spacing w:before="80" w:after="80"/>
      </w:pPr>
      <w:r>
        <w:rPr>
          <w:rFonts w:ascii="Arial" w:cs="Arial" w:eastAsia="Arial" w:hAnsi="Arial"/>
          <w:color w:val="0D0D0D"/>
          <w:sz w:val="20"/>
          <w:szCs w:val="20"/>
        </w:rPr>
        <w:t xml:space="preserve">When a finding is confirmed (FINDING_CREATED, confidence &gt;= 0.85), the ReplayMutator generates a mutation plan: an ordered list of MutationTask objects, each with a target, verb, object type variant, and required capability tier. The plan is committed to the DecisionLedger as a MUTATION_ESCALATION decision before any task executes.</w:t>
      </w:r>
    </w:p>
    <w:p>
      <w:pPr>
        <w:spacing w:before="80" w:after="0"/>
      </w:pPr>
      <w:r>
        <w:rPr>
          <w:rFonts w:ascii="Arial" w:cs="Arial" w:eastAsia="Arial" w:hAnsi="Arial"/>
        </w:rPr>
        <w:t xml:space="preserve"/>
      </w:r>
    </w:p>
    <w:p>
      <w:pPr>
        <w:spacing w:before="80" w:after="80"/>
      </w:pPr>
      <w:r>
        <w:rPr>
          <w:rFonts w:ascii="Arial" w:cs="Arial" w:eastAsia="Arial" w:hAnsi="Arial"/>
          <w:color w:val="0D0D0D"/>
          <w:sz w:val="20"/>
          <w:szCs w:val="20"/>
        </w:rPr>
        <w:t xml:space="preserve">Tasks execute in tier order: T2a tasks first (read-only verbs, different object types), then T2b tasks (mutating verbs PUT/PATCH), then T3 tasks (DELETE, destructive) — each tier requiring a separate ArbitrationEngine evaluation. Destructive verbs are never executed without explicit operator gate.</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6C3483"/>
          <w:sz w:val="22"/>
          <w:szCs w:val="22"/>
        </w:rPr>
        <w:t xml:space="preserve">Verb Escalation Ladder</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Verb</w:t>
            </w:r>
          </w:p>
        </w:tc>
        <w:tc>
          <w:tcPr>
            <w:tcW w:type="dxa" w:w="14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Tier</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Gate</w:t>
            </w:r>
          </w:p>
        </w:tc>
        <w:tc>
          <w:tcPr>
            <w:tcW w:type="dxa" w:w="45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Evidence If Confirmed</w:t>
            </w:r>
          </w:p>
        </w:tc>
      </w:tr>
      <w:tr>
        <w:tc>
          <w:tcPr>
            <w:tcW w:type="dxa" w:w="14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GET</w:t>
            </w:r>
          </w:p>
        </w:tc>
        <w:tc>
          <w:tcPr>
            <w:tcW w:type="dxa" w:w="14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T2a</w:t>
            </w:r>
          </w:p>
        </w:tc>
        <w:tc>
          <w:tcPr>
            <w:tcW w:type="dxa" w:w="20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Auto (BOUNTY)</w:t>
            </w:r>
          </w:p>
        </w:tc>
        <w:tc>
          <w:tcPr>
            <w:tcW w:type="dxa" w:w="45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Read access to another user's resource — IDOR</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HEAD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T2a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Auto (BOUNTY)</w:t>
            </w:r>
          </w:p>
        </w:tc>
        <w:tc>
          <w:tcPr>
            <w:tcW w:type="dxa" w:w="4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Resource existence confirmed — information disclosure</w:t>
            </w:r>
          </w:p>
        </w:tc>
      </w:tr>
      <w:tr>
        <w:tc>
          <w:tcPr>
            <w:tcW w:type="dxa" w:w="14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PUT</w:t>
            </w:r>
          </w:p>
        </w:tc>
        <w:tc>
          <w:tcPr>
            <w:tcW w:type="dxa" w:w="14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T2b</w:t>
            </w:r>
          </w:p>
        </w:tc>
        <w:tc>
          <w:tcPr>
            <w:tcW w:type="dxa" w:w="20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Scope attestation</w:t>
            </w:r>
          </w:p>
        </w:tc>
        <w:tc>
          <w:tcPr>
            <w:tcW w:type="dxa" w:w="45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Write access to another user's resource — critical IDOR</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PATCH</w:t>
            </w:r>
          </w:p>
        </w:tc>
        <w:tc>
          <w:tcPr>
            <w:tcW w:type="dxa" w:w="1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T2b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Scope attestation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Partial modification of another user's resource — critical IDOR</w:t>
            </w:r>
          </w:p>
        </w:tc>
      </w:tr>
      <w:tr>
        <w:tc>
          <w:tcPr>
            <w:tcW w:type="dxa" w:w="14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DELETE</w:t>
            </w:r>
          </w:p>
        </w:tc>
        <w:tc>
          <w:tcPr>
            <w:tcW w:type="dxa" w:w="14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T3</w:t>
            </w:r>
          </w:p>
        </w:tc>
        <w:tc>
          <w:tcPr>
            <w:tcW w:type="dxa" w:w="20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Human gate + scope</w:t>
            </w:r>
          </w:p>
        </w:tc>
        <w:tc>
          <w:tcPr>
            <w:tcW w:type="dxa" w:w="45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Deletion of another user's resource — P1 critical</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POST (create)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1A1A2E"/>
                <w:sz w:val="18"/>
                <w:szCs w:val="18"/>
              </w:rPr>
              <w:t xml:space="preserve">T2b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Scope attestation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Object creation under another user's identity — privilege escalation</w:t>
            </w:r>
          </w:p>
        </w:tc>
      </w:tr>
    </w:tbl>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6C3483"/>
          <w:sz w:val="22"/>
          <w:szCs w:val="22"/>
        </w:rPr>
        <w:t xml:space="preserve">Human Escalation Gate Design</w:t>
      </w:r>
    </w:p>
    <w:p>
      <w:pPr>
        <w:spacing w:before="80" w:after="80"/>
      </w:pPr>
      <w:r>
        <w:rPr>
          <w:rFonts w:ascii="Arial" w:cs="Arial" w:eastAsia="Arial" w:hAnsi="Arial"/>
          <w:color w:val="0D0D0D"/>
          <w:sz w:val="20"/>
          <w:szCs w:val="20"/>
        </w:rPr>
        <w:t xml:space="preserve">T3 (DELETE) mutations are never automatic. The module emits a DECISION_MADE event with decision_type=MUTATION_ESCALATION, verb=DELETE, requires_acknowledgment=True. The UI presents the specific request and requires explicit operator confirmation before the request fires. This satisfies the canonical non-goal: no silent autonomous exploitation.</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6C3483"/>
          <w:sz w:val="22"/>
          <w:szCs w:val="22"/>
        </w:rPr>
        <w:t xml:space="preserve">Canonical Integration</w:t>
      </w:r>
    </w:p>
    <w:p>
      <w:pPr>
        <w:pStyle w:val="ListParagraph"/>
        <w:numPr>
          <w:ilvl w:val="0"/>
          <w:numId w:val="2"/>
        </w:numPr>
        <w:spacing w:before="60" w:after="60"/>
      </w:pPr>
      <w:r>
        <w:rPr>
          <w:rFonts w:ascii="Arial" w:cs="Arial" w:eastAsia="Arial" w:hAnsi="Arial"/>
          <w:b w:val="false"/>
          <w:bCs w:val="false"/>
          <w:color w:val="0D0D0D"/>
          <w:sz w:val="20"/>
          <w:szCs w:val="20"/>
        </w:rPr>
        <w:t xml:space="preserve">All mutation requests route through ExecutionPolicyRuntime.execute_http() — no exceptions</w:t>
      </w:r>
    </w:p>
    <w:p>
      <w:pPr>
        <w:pStyle w:val="ListParagraph"/>
        <w:numPr>
          <w:ilvl w:val="0"/>
          <w:numId w:val="2"/>
        </w:numPr>
        <w:spacing w:before="60" w:after="60"/>
      </w:pPr>
      <w:r>
        <w:rPr>
          <w:rFonts w:ascii="Arial" w:cs="Arial" w:eastAsia="Arial" w:hAnsi="Arial"/>
          <w:b w:val="false"/>
          <w:bCs w:val="false"/>
          <w:color w:val="0D0D0D"/>
          <w:sz w:val="20"/>
          <w:szCs w:val="20"/>
        </w:rPr>
        <w:t xml:space="preserve">Each tier transition requires a fresh ArbitrationEngine.evaluate() call</w:t>
      </w:r>
    </w:p>
    <w:p>
      <w:pPr>
        <w:pStyle w:val="ListParagraph"/>
        <w:numPr>
          <w:ilvl w:val="0"/>
          <w:numId w:val="2"/>
        </w:numPr>
        <w:spacing w:before="60" w:after="60"/>
      </w:pPr>
      <w:r>
        <w:rPr>
          <w:rFonts w:ascii="Arial" w:cs="Arial" w:eastAsia="Arial" w:hAnsi="Arial"/>
          <w:b w:val="false"/>
          <w:bCs w:val="false"/>
          <w:color w:val="0D0D0D"/>
          <w:sz w:val="20"/>
          <w:szCs w:val="20"/>
        </w:rPr>
        <w:t xml:space="preserve">REPLAY_VERB_ESCALATED and REPLAY_SURFACE_EXPANDED emitted per confirmed mutation</w:t>
      </w:r>
    </w:p>
    <w:p>
      <w:pPr>
        <w:pStyle w:val="ListParagraph"/>
        <w:numPr>
          <w:ilvl w:val="0"/>
          <w:numId w:val="2"/>
        </w:numPr>
        <w:spacing w:before="60" w:after="60"/>
      </w:pPr>
      <w:r>
        <w:rPr>
          <w:rFonts w:ascii="Arial" w:cs="Arial" w:eastAsia="Arial" w:hAnsi="Arial"/>
          <w:b w:val="false"/>
          <w:bCs w:val="false"/>
          <w:color w:val="0D0D0D"/>
          <w:sz w:val="20"/>
          <w:szCs w:val="20"/>
        </w:rPr>
        <w:t xml:space="preserve">All mutation findings carry parent_finding_id in their context, creating a traceable chain</w:t>
      </w:r>
    </w:p>
    <w:p>
      <w:pPr>
        <w:pStyle w:val="ListParagraph"/>
        <w:numPr>
          <w:ilvl w:val="0"/>
          <w:numId w:val="2"/>
        </w:numPr>
        <w:spacing w:before="60" w:after="60"/>
      </w:pPr>
      <w:r>
        <w:rPr>
          <w:rFonts w:ascii="Arial" w:cs="Arial" w:eastAsia="Arial" w:hAnsi="Arial"/>
          <w:b w:val="false"/>
          <w:bCs w:val="false"/>
          <w:color w:val="0D0D0D"/>
          <w:sz w:val="20"/>
          <w:szCs w:val="20"/>
        </w:rPr>
        <w:t xml:space="preserve">Budget consumed per mutation: T2a=1 token, T2b=5 tokens, T3=10 tokens (existing CapabilityGate costs)</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6C3483"/>
          <w:sz w:val="22"/>
          <w:szCs w:val="22"/>
        </w:rPr>
        <w:t xml:space="preserve">Module Location</w:t>
      </w:r>
    </w:p>
    <w:p>
      <w:pPr>
        <w:shd w:fill="F0F0F0" w:val="clear"/>
        <w:spacing w:before="20" w:after="20"/>
        <w:ind w:left="360"/>
      </w:pPr>
      <w:r>
        <w:rPr>
          <w:rFonts w:ascii="Courier New" w:cs="Courier New" w:eastAsia="Courier New" w:hAnsi="Courier New"/>
          <w:color w:val="1A1A2E"/>
          <w:sz w:val="18"/>
          <w:szCs w:val="18"/>
        </w:rPr>
        <w:t xml:space="preserve">core/wraith/replay/</w:t>
      </w:r>
    </w:p>
    <w:p>
      <w:pPr>
        <w:shd w:fill="F0F0F0" w:val="clear"/>
        <w:spacing w:before="20" w:after="20"/>
        <w:ind w:left="360"/>
      </w:pPr>
      <w:r>
        <w:rPr>
          <w:rFonts w:ascii="Courier New" w:cs="Courier New" w:eastAsia="Courier New" w:hAnsi="Courier New"/>
          <w:color w:val="1A1A2E"/>
          <w:sz w:val="18"/>
          <w:szCs w:val="18"/>
        </w:rPr>
        <w:t xml:space="preserve">  mutator.py    — ReplayMutator, MutationPlan, MutationTask</w:t>
      </w:r>
    </w:p>
    <w:p>
      <w:pPr>
        <w:shd w:fill="F0F0F0" w:val="clear"/>
        <w:spacing w:before="20" w:after="20"/>
        <w:ind w:left="360"/>
      </w:pPr>
      <w:r>
        <w:rPr>
          <w:rFonts w:ascii="Courier New" w:cs="Courier New" w:eastAsia="Courier New" w:hAnsi="Courier New"/>
          <w:color w:val="1A1A2E"/>
          <w:sz w:val="18"/>
          <w:szCs w:val="18"/>
        </w:rPr>
        <w:t xml:space="preserve">  tool.py       — ReplayMutatorTool (MCP-compatible wrapper)</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6C3483"/>
          <w:sz w:val="22"/>
          <w:szCs w:val="22"/>
        </w:rPr>
        <w:t xml:space="preserve">Estimate</w:t>
      </w:r>
    </w:p>
    <w:p>
      <w:pPr>
        <w:pStyle w:val="ListParagraph"/>
        <w:numPr>
          <w:ilvl w:val="0"/>
          <w:numId w:val="2"/>
        </w:numPr>
        <w:spacing w:before="60" w:after="60"/>
      </w:pPr>
      <w:r>
        <w:rPr>
          <w:rFonts w:ascii="Arial" w:cs="Arial" w:eastAsia="Arial" w:hAnsi="Arial"/>
          <w:b w:val="false"/>
          <w:bCs w:val="false"/>
          <w:color w:val="0D0D0D"/>
          <w:sz w:val="20"/>
          <w:szCs w:val="20"/>
        </w:rPr>
        <w:t xml:space="preserve">Engineering: 2 weeks</w:t>
      </w:r>
    </w:p>
    <w:p>
      <w:pPr>
        <w:pStyle w:val="ListParagraph"/>
        <w:numPr>
          <w:ilvl w:val="0"/>
          <w:numId w:val="2"/>
        </w:numPr>
        <w:spacing w:before="60" w:after="60"/>
      </w:pPr>
      <w:r>
        <w:rPr>
          <w:rFonts w:ascii="Arial" w:cs="Arial" w:eastAsia="Arial" w:hAnsi="Arial"/>
          <w:b w:val="false"/>
          <w:bCs w:val="false"/>
          <w:color w:val="0D0D0D"/>
          <w:sz w:val="20"/>
          <w:szCs w:val="20"/>
        </w:rPr>
        <w:t xml:space="preserve">Complexity: Medium — mutation plan generation is straightforward; the complexity is in the tier-escalation gate logic</w:t>
      </w:r>
    </w:p>
    <w:p>
      <w:pPr>
        <w:pStyle w:val="ListParagraph"/>
        <w:numPr>
          <w:ilvl w:val="0"/>
          <w:numId w:val="2"/>
        </w:numPr>
        <w:spacing w:before="60" w:after="60"/>
      </w:pPr>
      <w:r>
        <w:rPr>
          <w:rFonts w:ascii="Arial" w:cs="Arial" w:eastAsia="Arial" w:hAnsi="Arial"/>
          <w:b w:val="false"/>
          <w:bCs w:val="false"/>
          <w:color w:val="0D0D0D"/>
          <w:sz w:val="20"/>
          <w:szCs w:val="20"/>
        </w:rPr>
        <w:t xml:space="preserve">Risk: Managed — T3 actions strictly human-gated; T2b actions require scope attestation</w:t>
      </w:r>
    </w:p>
    <w:p>
      <w:r>
        <w:br w:type="page"/>
      </w:r>
    </w:p>
    <w:p>
      <w:pPr>
        <w:shd w:fill="1E8449" w:val="clear"/>
        <w:spacing w:before="480" w:after="0"/>
      </w:pPr>
      <w:r>
        <w:rPr>
          <w:rFonts w:ascii="Arial" w:cs="Arial" w:eastAsia="Arial" w:hAnsi="Arial"/>
          <w:b/>
          <w:bCs/>
          <w:color w:val="FFFFFF"/>
          <w:sz w:val="32"/>
          <w:szCs w:val="32"/>
        </w:rPr>
        <w:t xml:space="preserve">FEATURE 4  </w:t>
      </w:r>
      <w:r>
        <w:rPr>
          <w:rFonts w:ascii="Arial" w:cs="Arial" w:eastAsia="Arial" w:hAnsi="Arial"/>
          <w:b/>
          <w:bCs/>
          <w:color w:val="FFFFFF"/>
          <w:sz w:val="32"/>
          <w:szCs w:val="32"/>
        </w:rPr>
        <w:t xml:space="preserve">Trust Boundary Inference Engine</w:t>
      </w:r>
    </w:p>
    <w:p>
      <w:pPr>
        <w:shd w:fill="1A1A2E" w:val="clear"/>
        <w:spacing w:before="0" w:after="280"/>
      </w:pPr>
      <w:r>
        <w:rPr>
          <w:rFonts w:ascii="Arial" w:cs="Arial" w:eastAsia="Arial" w:hAnsi="Arial"/>
          <w:i/>
          <w:iCs/>
          <w:color w:val="FFFFFF"/>
          <w:sz w:val="18"/>
          <w:szCs w:val="18"/>
        </w:rPr>
        <w:t xml:space="preserve">  Capability Tier: T2a–T2b (evidence-driven, not speculative)    Integration Class: Core Module</w:t>
      </w:r>
    </w:p>
    <w:p>
      <w:pPr>
        <w:pStyle w:val="Heading3"/>
        <w:spacing w:before="280" w:after="100"/>
      </w:pPr>
      <w:r>
        <w:rPr>
          <w:rFonts w:ascii="Arial" w:cs="Arial" w:eastAsia="Arial" w:hAnsi="Arial"/>
          <w:b/>
          <w:bCs/>
          <w:color w:val="1E8449"/>
          <w:sz w:val="22"/>
          <w:szCs w:val="22"/>
        </w:rPr>
        <w:t xml:space="preserve">What It Solves</w:t>
      </w:r>
    </w:p>
    <w:p>
      <w:pPr>
        <w:spacing w:before="80" w:after="80"/>
      </w:pPr>
      <w:r>
        <w:rPr>
          <w:rFonts w:ascii="Arial" w:cs="Arial" w:eastAsia="Arial" w:hAnsi="Arial"/>
          <w:color w:val="0D0D0D"/>
          <w:sz w:val="20"/>
          <w:szCs w:val="20"/>
        </w:rPr>
        <w:t xml:space="preserve">The most critical vulnerabilities live at implicit trust boundaries: the frontend sends a field the backend trusts blindly, a header gets forwarded to an internal service with elevated privileges, a computed server-side field can be influenced by client input. These vulnerabilities are found by experienced hunters by instinct. No tool finds them systematically. This module does.</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1E8449"/>
          <w:sz w:val="22"/>
          <w:szCs w:val="22"/>
        </w:rPr>
        <w:t xml:space="preserve">How It Works</w:t>
      </w:r>
    </w:p>
    <w:p>
      <w:pPr>
        <w:spacing w:before="80" w:after="80"/>
      </w:pPr>
      <w:r>
        <w:rPr>
          <w:rFonts w:ascii="Arial" w:cs="Arial" w:eastAsia="Arial" w:hAnsi="Arial"/>
          <w:color w:val="0D0D0D"/>
          <w:sz w:val="20"/>
          <w:szCs w:val="20"/>
        </w:rPr>
        <w:t xml:space="preserve">The TrustBoundaryInferrer operates on the request/response corpus collected during normal scan execution — it does not issue additional requests for inference. It classifies fields using four evidence-driven detection strategies:</w:t>
      </w:r>
    </w:p>
    <w:p>
      <w:pPr>
        <w:spacing w:before="80" w:after="0"/>
      </w:pPr>
      <w:r>
        <w:rPr>
          <w:rFonts w:ascii="Arial" w:cs="Arial" w:eastAsia="Arial" w:hAnsi="Arial"/>
        </w:rPr>
        <w:t xml:space="preserve"/>
      </w:r>
    </w:p>
    <w:p>
      <w:pPr>
        <w:pStyle w:val="ListParagraph"/>
        <w:numPr>
          <w:ilvl w:val="0"/>
          <w:numId w:val="2"/>
        </w:numPr>
        <w:spacing w:before="60" w:after="60"/>
      </w:pPr>
      <w:r>
        <w:rPr>
          <w:rFonts w:ascii="Arial" w:cs="Arial" w:eastAsia="Arial" w:hAnsi="Arial"/>
          <w:b w:val="false"/>
          <w:bCs w:val="false"/>
          <w:color w:val="0D0D0D"/>
          <w:sz w:val="20"/>
          <w:szCs w:val="20"/>
        </w:rPr>
        <w:t xml:space="preserve">Server-injected field detection: fields that appear in responses but were not in the request — the server computed them. These are candidates for client-influence attacks.</w:t>
      </w:r>
    </w:p>
    <w:p>
      <w:pPr>
        <w:pStyle w:val="ListParagraph"/>
        <w:numPr>
          <w:ilvl w:val="0"/>
          <w:numId w:val="2"/>
        </w:numPr>
        <w:spacing w:before="60" w:after="60"/>
      </w:pPr>
      <w:r>
        <w:rPr>
          <w:rFonts w:ascii="Arial" w:cs="Arial" w:eastAsia="Arial" w:hAnsi="Arial"/>
          <w:b w:val="false"/>
          <w:bCs w:val="false"/>
          <w:color w:val="0D0D0D"/>
          <w:sz w:val="20"/>
          <w:szCs w:val="20"/>
        </w:rPr>
        <w:t xml:space="preserve">Security-sensitive field naming: fields matching a curated taxonomy (role, isAdmin, userId, accountId, permissions, scope, tier, accessLevel) present in request bodies.</w:t>
      </w:r>
    </w:p>
    <w:p>
      <w:pPr>
        <w:pStyle w:val="ListParagraph"/>
        <w:numPr>
          <w:ilvl w:val="0"/>
          <w:numId w:val="2"/>
        </w:numPr>
        <w:spacing w:before="60" w:after="60"/>
      </w:pPr>
      <w:r>
        <w:rPr>
          <w:rFonts w:ascii="Arial" w:cs="Arial" w:eastAsia="Arial" w:hAnsi="Arial"/>
          <w:b w:val="false"/>
          <w:bCs w:val="false"/>
          <w:color w:val="0D0D0D"/>
          <w:sz w:val="20"/>
          <w:szCs w:val="20"/>
        </w:rPr>
        <w:t xml:space="preserve">Header forwarding detection: request headers that appear verbatim in downstream error messages, response metadata, or correlation IDs — evidence of internal forwarding.</w:t>
      </w:r>
    </w:p>
    <w:p>
      <w:pPr>
        <w:pStyle w:val="ListParagraph"/>
        <w:numPr>
          <w:ilvl w:val="0"/>
          <w:numId w:val="2"/>
        </w:numPr>
        <w:spacing w:before="60" w:after="60"/>
      </w:pPr>
      <w:r>
        <w:rPr>
          <w:rFonts w:ascii="Arial" w:cs="Arial" w:eastAsia="Arial" w:hAnsi="Arial"/>
          <w:b w:val="false"/>
          <w:bCs w:val="false"/>
          <w:color w:val="0D0D0D"/>
          <w:sz w:val="20"/>
          <w:szCs w:val="20"/>
        </w:rPr>
        <w:t xml:space="preserve">Validation asymmetry detection: fields that are validated client-side (present in JS source or removed in stripped requests) but accepted server-side without validation.</w:t>
      </w:r>
    </w:p>
    <w:p>
      <w:pPr>
        <w:spacing w:before="80" w:after="0"/>
      </w:pPr>
      <w:r>
        <w:rPr>
          <w:rFonts w:ascii="Arial" w:cs="Arial" w:eastAsia="Arial" w:hAnsi="Arial"/>
        </w:rPr>
        <w:t xml:space="preserve"/>
      </w:r>
    </w:p>
    <w:p>
      <w:pPr>
        <w:spacing w:before="80" w:after="80"/>
      </w:pPr>
      <w:r>
        <w:rPr>
          <w:rFonts w:ascii="Arial" w:cs="Arial" w:eastAsia="Arial" w:hAnsi="Arial"/>
          <w:color w:val="0D0D0D"/>
          <w:sz w:val="20"/>
          <w:szCs w:val="20"/>
        </w:rPr>
        <w:t xml:space="preserve">Only after a field is classified with evidence does the module generate a TrustProbe — a test request with the field injected at an elevated value. Probes are not speculative; they are grounded in observed evidence.</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1E8449"/>
          <w:sz w:val="22"/>
          <w:szCs w:val="22"/>
        </w:rPr>
        <w:t xml:space="preserve">Evidence-First Design Principle</w:t>
      </w:r>
    </w:p>
    <w:p>
      <w:pPr>
        <w:pBdr>
          <w:left w:val="single" w:color="1E8449" w:sz="14" w:space="10"/>
        </w:pBdr>
        <w:spacing w:before="140" w:after="140"/>
        <w:ind w:left="360"/>
      </w:pPr>
      <w:r>
        <w:rPr>
          <w:rFonts w:ascii="Arial" w:cs="Arial" w:eastAsia="Arial" w:hAnsi="Arial"/>
          <w:b/>
          <w:bCs/>
          <w:color w:val="1E8449"/>
          <w:sz w:val="20"/>
          <w:szCs w:val="20"/>
        </w:rPr>
        <w:t xml:space="preserve">The invariant:  </w:t>
      </w:r>
      <w:r>
        <w:rPr>
          <w:rFonts w:ascii="Arial" w:cs="Arial" w:eastAsia="Arial" w:hAnsi="Arial"/>
          <w:color w:val="0D0D0D"/>
          <w:sz w:val="20"/>
          <w:szCs w:val="20"/>
        </w:rPr>
        <w:t xml:space="preserve">No TrustProbe is generated without a prior evidence record. The evidence record must contain: field_name, evidence_type (one of the four above), evidence_source (request_id or response_id), and confidence &gt;= 0.6. This prevents the alert fatigue the review correctly identified as a risk.</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1E8449"/>
          <w:sz w:val="22"/>
          <w:szCs w:val="22"/>
        </w:rPr>
        <w:t xml:space="preserve">Canonical Integration</w:t>
      </w:r>
    </w:p>
    <w:p>
      <w:pPr>
        <w:pStyle w:val="ListParagraph"/>
        <w:numPr>
          <w:ilvl w:val="0"/>
          <w:numId w:val="2"/>
        </w:numPr>
        <w:spacing w:before="60" w:after="60"/>
      </w:pPr>
      <w:r>
        <w:rPr>
          <w:rFonts w:ascii="Arial" w:cs="Arial" w:eastAsia="Arial" w:hAnsi="Arial"/>
          <w:b w:val="false"/>
          <w:bCs w:val="false"/>
          <w:color w:val="0D0D0D"/>
          <w:sz w:val="20"/>
          <w:szCs w:val="20"/>
        </w:rPr>
        <w:t xml:space="preserve">Field classification runs on EventStore replay — no additional network requests</w:t>
      </w:r>
    </w:p>
    <w:p>
      <w:pPr>
        <w:pStyle w:val="ListParagraph"/>
        <w:numPr>
          <w:ilvl w:val="0"/>
          <w:numId w:val="2"/>
        </w:numPr>
        <w:spacing w:before="60" w:after="60"/>
      </w:pPr>
      <w:r>
        <w:rPr>
          <w:rFonts w:ascii="Arial" w:cs="Arial" w:eastAsia="Arial" w:hAnsi="Arial"/>
          <w:b w:val="false"/>
          <w:bCs w:val="false"/>
          <w:color w:val="0D0D0D"/>
          <w:sz w:val="20"/>
          <w:szCs w:val="20"/>
        </w:rPr>
        <w:t xml:space="preserve">TrustProbe requests route through ExecutionPolicyRuntime (T2a for read probes, T2b for elevated-value injections)</w:t>
      </w:r>
    </w:p>
    <w:p>
      <w:pPr>
        <w:pStyle w:val="ListParagraph"/>
        <w:numPr>
          <w:ilvl w:val="0"/>
          <w:numId w:val="2"/>
        </w:numPr>
        <w:spacing w:before="60" w:after="60"/>
      </w:pPr>
      <w:r>
        <w:rPr>
          <w:rFonts w:ascii="Arial" w:cs="Arial" w:eastAsia="Arial" w:hAnsi="Arial"/>
          <w:b w:val="false"/>
          <w:bCs w:val="false"/>
          <w:color w:val="0D0D0D"/>
          <w:sz w:val="20"/>
          <w:szCs w:val="20"/>
        </w:rPr>
        <w:t xml:space="preserve">TRUST_FIELD_IDENTIFIED emitted per classified field (evidence included in payload)</w:t>
      </w:r>
    </w:p>
    <w:p>
      <w:pPr>
        <w:pStyle w:val="ListParagraph"/>
        <w:numPr>
          <w:ilvl w:val="0"/>
          <w:numId w:val="2"/>
        </w:numPr>
        <w:spacing w:before="60" w:after="60"/>
      </w:pPr>
      <w:r>
        <w:rPr>
          <w:rFonts w:ascii="Arial" w:cs="Arial" w:eastAsia="Arial" w:hAnsi="Arial"/>
          <w:b w:val="false"/>
          <w:bCs w:val="false"/>
          <w:color w:val="0D0D0D"/>
          <w:sz w:val="20"/>
          <w:szCs w:val="20"/>
        </w:rPr>
        <w:t xml:space="preserve">TRUST_INJECTION_CONFIRMED emitted when injection produces privileged response delta</w:t>
      </w:r>
    </w:p>
    <w:p>
      <w:pPr>
        <w:pStyle w:val="ListParagraph"/>
        <w:numPr>
          <w:ilvl w:val="0"/>
          <w:numId w:val="2"/>
        </w:numPr>
        <w:spacing w:before="60" w:after="60"/>
      </w:pPr>
      <w:r>
        <w:rPr>
          <w:rFonts w:ascii="Arial" w:cs="Arial" w:eastAsia="Arial" w:hAnsi="Arial"/>
          <w:b w:val="false"/>
          <w:bCs w:val="false"/>
          <w:color w:val="0D0D0D"/>
          <w:sz w:val="20"/>
          <w:szCs w:val="20"/>
        </w:rPr>
        <w:t xml:space="preserve">DecisionPoint committed per probe batch: type=TRUST_PROBE, evidence_ids=[...], confidence</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1E8449"/>
          <w:sz w:val="22"/>
          <w:szCs w:val="22"/>
        </w:rPr>
        <w:t xml:space="preserve">Module Location</w:t>
      </w:r>
    </w:p>
    <w:p>
      <w:pPr>
        <w:shd w:fill="F0F0F0" w:val="clear"/>
        <w:spacing w:before="20" w:after="20"/>
        <w:ind w:left="360"/>
      </w:pPr>
      <w:r>
        <w:rPr>
          <w:rFonts w:ascii="Courier New" w:cs="Courier New" w:eastAsia="Courier New" w:hAnsi="Courier New"/>
          <w:color w:val="1A1A2E"/>
          <w:sz w:val="18"/>
          <w:szCs w:val="18"/>
        </w:rPr>
        <w:t xml:space="preserve">core/wraith/trust/</w:t>
      </w:r>
    </w:p>
    <w:p>
      <w:pPr>
        <w:shd w:fill="F0F0F0" w:val="clear"/>
        <w:spacing w:before="20" w:after="20"/>
        <w:ind w:left="360"/>
      </w:pPr>
      <w:r>
        <w:rPr>
          <w:rFonts w:ascii="Courier New" w:cs="Courier New" w:eastAsia="Courier New" w:hAnsi="Courier New"/>
          <w:color w:val="1A1A2E"/>
          <w:sz w:val="18"/>
          <w:szCs w:val="18"/>
        </w:rPr>
        <w:t xml:space="preserve">  inferrer.py   — TrustBoundaryInferrer, TrustProbe, TrustEvidence</w:t>
      </w:r>
    </w:p>
    <w:p>
      <w:pPr>
        <w:shd w:fill="F0F0F0" w:val="clear"/>
        <w:spacing w:before="20" w:after="20"/>
        <w:ind w:left="360"/>
      </w:pPr>
      <w:r>
        <w:rPr>
          <w:rFonts w:ascii="Courier New" w:cs="Courier New" w:eastAsia="Courier New" w:hAnsi="Courier New"/>
          <w:color w:val="1A1A2E"/>
          <w:sz w:val="18"/>
          <w:szCs w:val="18"/>
        </w:rPr>
        <w:t xml:space="preserve">  taxonomy.py   — SENSITIVE_FIELD_NAMES, HEADER_FORWARDING_PATTERNS</w:t>
      </w:r>
    </w:p>
    <w:p>
      <w:pPr>
        <w:shd w:fill="F0F0F0" w:val="clear"/>
        <w:spacing w:before="20" w:after="20"/>
        <w:ind w:left="360"/>
      </w:pPr>
      <w:r>
        <w:rPr>
          <w:rFonts w:ascii="Courier New" w:cs="Courier New" w:eastAsia="Courier New" w:hAnsi="Courier New"/>
          <w:color w:val="1A1A2E"/>
          <w:sz w:val="18"/>
          <w:szCs w:val="18"/>
        </w:rPr>
        <w:t xml:space="preserve">  tool.py       — TrustBoundaryTool (MCP-compatible wrapper)</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1E8449"/>
          <w:sz w:val="22"/>
          <w:szCs w:val="22"/>
        </w:rPr>
        <w:t xml:space="preserve">Estimate</w:t>
      </w:r>
    </w:p>
    <w:p>
      <w:pPr>
        <w:pStyle w:val="ListParagraph"/>
        <w:numPr>
          <w:ilvl w:val="0"/>
          <w:numId w:val="2"/>
        </w:numPr>
        <w:spacing w:before="60" w:after="60"/>
      </w:pPr>
      <w:r>
        <w:rPr>
          <w:rFonts w:ascii="Arial" w:cs="Arial" w:eastAsia="Arial" w:hAnsi="Arial"/>
          <w:b w:val="false"/>
          <w:bCs w:val="false"/>
          <w:color w:val="0D0D0D"/>
          <w:sz w:val="20"/>
          <w:szCs w:val="20"/>
        </w:rPr>
        <w:t xml:space="preserve">Engineering: 3 weeks</w:t>
      </w:r>
    </w:p>
    <w:p>
      <w:pPr>
        <w:pStyle w:val="ListParagraph"/>
        <w:numPr>
          <w:ilvl w:val="0"/>
          <w:numId w:val="2"/>
        </w:numPr>
        <w:spacing w:before="60" w:after="60"/>
      </w:pPr>
      <w:r>
        <w:rPr>
          <w:rFonts w:ascii="Arial" w:cs="Arial" w:eastAsia="Arial" w:hAnsi="Arial"/>
          <w:b w:val="false"/>
          <w:bCs w:val="false"/>
          <w:color w:val="0D0D0D"/>
          <w:sz w:val="20"/>
          <w:szCs w:val="20"/>
        </w:rPr>
        <w:t xml:space="preserve">Complexity: High — evidence classification accuracy is the hard problem; the integration is straightforward</w:t>
      </w:r>
    </w:p>
    <w:p>
      <w:pPr>
        <w:pStyle w:val="ListParagraph"/>
        <w:numPr>
          <w:ilvl w:val="0"/>
          <w:numId w:val="2"/>
        </w:numPr>
        <w:spacing w:before="60" w:after="60"/>
      </w:pPr>
      <w:r>
        <w:rPr>
          <w:rFonts w:ascii="Arial" w:cs="Arial" w:eastAsia="Arial" w:hAnsi="Arial"/>
          <w:b w:val="false"/>
          <w:bCs w:val="false"/>
          <w:color w:val="0D0D0D"/>
          <w:sz w:val="20"/>
          <w:szCs w:val="20"/>
        </w:rPr>
        <w:t xml:space="preserve">Risk: Low-Medium — evidence-gated design prevents speculative alert generation</w:t>
      </w:r>
    </w:p>
    <w:p>
      <w:r>
        <w:br w:type="page"/>
      </w:r>
    </w:p>
    <w:p>
      <w:pPr>
        <w:shd w:fill="B7770D" w:val="clear"/>
        <w:spacing w:before="480" w:after="0"/>
      </w:pPr>
      <w:r>
        <w:rPr>
          <w:rFonts w:ascii="Arial" w:cs="Arial" w:eastAsia="Arial" w:hAnsi="Arial"/>
          <w:b/>
          <w:bCs/>
          <w:color w:val="FFFFFF"/>
          <w:sz w:val="32"/>
          <w:szCs w:val="32"/>
        </w:rPr>
        <w:t xml:space="preserve">FEATURE 5  </w:t>
      </w:r>
      <w:r>
        <w:rPr>
          <w:rFonts w:ascii="Arial" w:cs="Arial" w:eastAsia="Arial" w:hAnsi="Arial"/>
          <w:b/>
          <w:bCs/>
          <w:color w:val="FFFFFF"/>
          <w:sz w:val="32"/>
          <w:szCs w:val="32"/>
        </w:rPr>
        <w:t xml:space="preserve">Application Semantic Model (ASM)</w:t>
      </w:r>
    </w:p>
    <w:p>
      <w:pPr>
        <w:shd w:fill="1A1A2E" w:val="clear"/>
        <w:spacing w:before="0" w:after="280"/>
      </w:pPr>
      <w:r>
        <w:rPr>
          <w:rFonts w:ascii="Arial" w:cs="Arial" w:eastAsia="Arial" w:hAnsi="Arial"/>
          <w:i/>
          <w:iCs/>
          <w:color w:val="FFFFFF"/>
          <w:sz w:val="18"/>
          <w:szCs w:val="18"/>
        </w:rPr>
        <w:t xml:space="preserve">  Capability Tier: T0–T2a (read-only inference; T2b for hypothesis verification)    Integration Class: Core Module</w:t>
      </w:r>
    </w:p>
    <w:p>
      <w:pPr>
        <w:pStyle w:val="Heading3"/>
        <w:spacing w:before="280" w:after="100"/>
      </w:pPr>
      <w:r>
        <w:rPr>
          <w:rFonts w:ascii="Arial" w:cs="Arial" w:eastAsia="Arial" w:hAnsi="Arial"/>
          <w:b/>
          <w:bCs/>
          <w:color w:val="B7770D"/>
          <w:sz w:val="22"/>
          <w:szCs w:val="22"/>
        </w:rPr>
        <w:t xml:space="preserve">What It Solves</w:t>
      </w:r>
    </w:p>
    <w:p>
      <w:pPr>
        <w:spacing w:before="80" w:after="80"/>
      </w:pPr>
      <w:r>
        <w:rPr>
          <w:rFonts w:ascii="Arial" w:cs="Arial" w:eastAsia="Arial" w:hAnsi="Arial"/>
          <w:color w:val="0D0D0D"/>
          <w:sz w:val="20"/>
          <w:szCs w:val="20"/>
        </w:rPr>
        <w:t xml:space="preserve">Business logic flaws — negative quantities, self-referential transfers, state transition violations, constraint bypass — are the highest-ceiling bug class and the one that no scanner can find today. They require understanding what the application is supposed to do. This module builds that understanding from behavioral observation, without source code.</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B7770D"/>
          <w:sz w:val="22"/>
          <w:szCs w:val="22"/>
        </w:rPr>
        <w:t xml:space="preserve">Architectural Position</w:t>
      </w:r>
    </w:p>
    <w:p>
      <w:pPr>
        <w:pBdr>
          <w:left w:val="single" w:color="B7770D" w:sz="14" w:space="10"/>
        </w:pBdr>
        <w:spacing w:before="140" w:after="140"/>
        <w:ind w:left="360"/>
      </w:pPr>
      <w:r>
        <w:rPr>
          <w:rFonts w:ascii="Arial" w:cs="Arial" w:eastAsia="Arial" w:hAnsi="Arial"/>
          <w:b/>
          <w:bCs/>
          <w:color w:val="B7770D"/>
          <w:sz w:val="20"/>
          <w:szCs w:val="20"/>
        </w:rPr>
        <w:t xml:space="preserve">Scope:  </w:t>
      </w:r>
      <w:r>
        <w:rPr>
          <w:rFonts w:ascii="Arial" w:cs="Arial" w:eastAsia="Arial" w:hAnsi="Arial"/>
          <w:color w:val="0D0D0D"/>
          <w:sz w:val="20"/>
          <w:szCs w:val="20"/>
        </w:rPr>
        <w:t xml:space="preserve">The ASM is a graph-backed inference engine, not an AI decision system. Every inference is a typed hypothesis object with an evidence source and a confidence score. Every hypothesis is either confirmed by observation or marked as unconfirmed. The model does not speculate — it accumulates evidence and publishes hypotheses.</w:t>
      </w:r>
    </w:p>
    <w:p>
      <w:pPr>
        <w:spacing w:before="80" w:after="0"/>
      </w:pPr>
      <w:r>
        <w:rPr>
          <w:rFonts w:ascii="Arial" w:cs="Arial" w:eastAsia="Arial" w:hAnsi="Arial"/>
        </w:rPr>
        <w:t xml:space="preserve"/>
      </w:r>
    </w:p>
    <w:p>
      <w:pPr>
        <w:spacing w:before="80" w:after="80"/>
      </w:pPr>
      <w:r>
        <w:rPr>
          <w:rFonts w:ascii="Arial" w:cs="Arial" w:eastAsia="Arial" w:hAnsi="Arial"/>
          <w:color w:val="0D0D0D"/>
          <w:sz w:val="20"/>
          <w:szCs w:val="20"/>
        </w:rPr>
        <w:t xml:space="preserve">This design satisfies the review's core concern: the ASM does not make probabilistic decisions about what to attack. It builds a structured, deterministic data model. The attack decisions are made by the existing Strategos/ArbitrationEngine stack using the model as input.</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B7770D"/>
          <w:sz w:val="22"/>
          <w:szCs w:val="22"/>
        </w:rPr>
        <w:t xml:space="preserve">Model Components</w:t>
      </w:r>
    </w:p>
    <w:p>
      <w:pPr>
        <w:spacing w:before="200" w:after="80"/>
      </w:pPr>
      <w:r>
        <w:rPr>
          <w:rFonts w:ascii="Arial" w:cs="Arial" w:eastAsia="Arial" w:hAnsi="Arial"/>
          <w:b/>
          <w:bCs/>
          <w:caps/>
          <w:color w:val="555555"/>
          <w:sz w:val="20"/>
          <w:szCs w:val="20"/>
        </w:rPr>
        <w:t xml:space="preserve">Entity Registry</w:t>
      </w:r>
    </w:p>
    <w:p>
      <w:pPr>
        <w:pStyle w:val="ListParagraph"/>
        <w:numPr>
          <w:ilvl w:val="0"/>
          <w:numId w:val="2"/>
        </w:numPr>
        <w:spacing w:before="60" w:after="60"/>
      </w:pPr>
      <w:r>
        <w:rPr>
          <w:rFonts w:ascii="Arial" w:cs="Arial" w:eastAsia="Arial" w:hAnsi="Arial"/>
          <w:b w:val="false"/>
          <w:bCs w:val="false"/>
          <w:color w:val="0D0D0D"/>
          <w:sz w:val="20"/>
          <w:szCs w:val="20"/>
        </w:rPr>
        <w:t xml:space="preserve">Infers object types from endpoint path segments: /orders/, /invoices/, /users/ → Order, Invoice, User entities</w:t>
      </w:r>
    </w:p>
    <w:p>
      <w:pPr>
        <w:pStyle w:val="ListParagraph"/>
        <w:numPr>
          <w:ilvl w:val="0"/>
          <w:numId w:val="2"/>
        </w:numPr>
        <w:spacing w:before="60" w:after="60"/>
      </w:pPr>
      <w:r>
        <w:rPr>
          <w:rFonts w:ascii="Arial" w:cs="Arial" w:eastAsia="Arial" w:hAnsi="Arial"/>
          <w:b w:val="false"/>
          <w:bCs w:val="false"/>
          <w:color w:val="0D0D0D"/>
          <w:sz w:val="20"/>
          <w:szCs w:val="20"/>
        </w:rPr>
        <w:t xml:space="preserve">Each entity is a typed node in the KnowledgeGraph/Cortex (existing infrastructure)</w:t>
      </w:r>
    </w:p>
    <w:p>
      <w:pPr>
        <w:pStyle w:val="ListParagraph"/>
        <w:numPr>
          <w:ilvl w:val="0"/>
          <w:numId w:val="2"/>
        </w:numPr>
        <w:spacing w:before="60" w:after="60"/>
      </w:pPr>
      <w:r>
        <w:rPr>
          <w:rFonts w:ascii="Arial" w:cs="Arial" w:eastAsia="Arial" w:hAnsi="Arial"/>
          <w:b w:val="false"/>
          <w:bCs w:val="false"/>
          <w:color w:val="0D0D0D"/>
          <w:sz w:val="20"/>
          <w:szCs w:val="20"/>
        </w:rPr>
        <w:t xml:space="preserve">Entity inferences emit ASM_ENTITY_INFERRED with confidence score and source endpoints</w:t>
      </w:r>
    </w:p>
    <w:p>
      <w:pPr>
        <w:spacing w:before="200" w:after="80"/>
      </w:pPr>
      <w:r>
        <w:rPr>
          <w:rFonts w:ascii="Arial" w:cs="Arial" w:eastAsia="Arial" w:hAnsi="Arial"/>
          <w:b/>
          <w:bCs/>
          <w:caps/>
          <w:color w:val="555555"/>
          <w:sz w:val="20"/>
          <w:szCs w:val="20"/>
        </w:rPr>
        <w:t xml:space="preserve">Relationship Mapper</w:t>
      </w:r>
    </w:p>
    <w:p>
      <w:pPr>
        <w:pStyle w:val="ListParagraph"/>
        <w:numPr>
          <w:ilvl w:val="0"/>
          <w:numId w:val="2"/>
        </w:numPr>
        <w:spacing w:before="60" w:after="60"/>
      </w:pPr>
      <w:r>
        <w:rPr>
          <w:rFonts w:ascii="Arial" w:cs="Arial" w:eastAsia="Arial" w:hAnsi="Arial"/>
          <w:b w:val="false"/>
          <w:bCs w:val="false"/>
          <w:color w:val="0D0D0D"/>
          <w:sz w:val="20"/>
          <w:szCs w:val="20"/>
        </w:rPr>
        <w:t xml:space="preserve">Detects foreign key relationships from response body field names: order.userId → Order owned_by User</w:t>
      </w:r>
    </w:p>
    <w:p>
      <w:pPr>
        <w:pStyle w:val="ListParagraph"/>
        <w:numPr>
          <w:ilvl w:val="0"/>
          <w:numId w:val="2"/>
        </w:numPr>
        <w:spacing w:before="60" w:after="60"/>
      </w:pPr>
      <w:r>
        <w:rPr>
          <w:rFonts w:ascii="Arial" w:cs="Arial" w:eastAsia="Arial" w:hAnsi="Arial"/>
          <w:b w:val="false"/>
          <w:bCs w:val="false"/>
          <w:color w:val="0D0D0D"/>
          <w:sz w:val="20"/>
          <w:szCs w:val="20"/>
        </w:rPr>
        <w:t xml:space="preserve">Infers role hierarchy from access pattern divergence across personas (uses existing AuthDiffScanner output)</w:t>
      </w:r>
    </w:p>
    <w:p>
      <w:pPr>
        <w:pStyle w:val="ListParagraph"/>
        <w:numPr>
          <w:ilvl w:val="0"/>
          <w:numId w:val="2"/>
        </w:numPr>
        <w:spacing w:before="60" w:after="60"/>
      </w:pPr>
      <w:r>
        <w:rPr>
          <w:rFonts w:ascii="Arial" w:cs="Arial" w:eastAsia="Arial" w:hAnsi="Arial"/>
          <w:b w:val="false"/>
          <w:bCs w:val="false"/>
          <w:color w:val="0D0D0D"/>
          <w:sz w:val="20"/>
          <w:szCs w:val="20"/>
        </w:rPr>
        <w:t xml:space="preserve">Relationship inferences emit ASM_RELATIONSHIP_MAPPED</w:t>
      </w:r>
    </w:p>
    <w:p>
      <w:pPr>
        <w:spacing w:before="200" w:after="80"/>
      </w:pPr>
      <w:r>
        <w:rPr>
          <w:rFonts w:ascii="Arial" w:cs="Arial" w:eastAsia="Arial" w:hAnsi="Arial"/>
          <w:b/>
          <w:bCs/>
          <w:caps/>
          <w:color w:val="555555"/>
          <w:sz w:val="20"/>
          <w:szCs w:val="20"/>
        </w:rPr>
        <w:t xml:space="preserve">Constraint Inference Engine</w:t>
      </w:r>
    </w:p>
    <w:p>
      <w:pPr>
        <w:pStyle w:val="ListParagraph"/>
        <w:numPr>
          <w:ilvl w:val="0"/>
          <w:numId w:val="2"/>
        </w:numPr>
        <w:spacing w:before="60" w:after="60"/>
      </w:pPr>
      <w:r>
        <w:rPr>
          <w:rFonts w:ascii="Arial" w:cs="Arial" w:eastAsia="Arial" w:hAnsi="Arial"/>
          <w:b w:val="false"/>
          <w:bCs w:val="false"/>
          <w:color w:val="0D0D0D"/>
          <w:sz w:val="20"/>
          <w:szCs w:val="20"/>
        </w:rPr>
        <w:t xml:space="preserve">Binary searches valid input space by probing 400/422 boundaries</w:t>
      </w:r>
    </w:p>
    <w:p>
      <w:pPr>
        <w:pStyle w:val="ListParagraph"/>
        <w:numPr>
          <w:ilvl w:val="0"/>
          <w:numId w:val="2"/>
        </w:numPr>
        <w:spacing w:before="60" w:after="60"/>
      </w:pPr>
      <w:r>
        <w:rPr>
          <w:rFonts w:ascii="Arial" w:cs="Arial" w:eastAsia="Arial" w:hAnsi="Arial"/>
          <w:b w:val="false"/>
          <w:bCs w:val="false"/>
          <w:color w:val="0D0D0D"/>
          <w:sz w:val="20"/>
          <w:szCs w:val="20"/>
        </w:rPr>
        <w:t xml:space="preserve">Learns: field type (string/int/float), valid range, valid enum values, nullable status</w:t>
      </w:r>
    </w:p>
    <w:p>
      <w:pPr>
        <w:pStyle w:val="ListParagraph"/>
        <w:numPr>
          <w:ilvl w:val="0"/>
          <w:numId w:val="2"/>
        </w:numPr>
        <w:spacing w:before="60" w:after="60"/>
      </w:pPr>
      <w:r>
        <w:rPr>
          <w:rFonts w:ascii="Arial" w:cs="Arial" w:eastAsia="Arial" w:hAnsi="Arial"/>
          <w:b w:val="false"/>
          <w:bCs w:val="false"/>
          <w:color w:val="0D0D0D"/>
          <w:sz w:val="20"/>
          <w:szCs w:val="20"/>
        </w:rPr>
        <w:t xml:space="preserve">Each constraint probe is a T2a request through ExecutionPolicyRuntime</w:t>
      </w:r>
    </w:p>
    <w:p>
      <w:pPr>
        <w:pStyle w:val="ListParagraph"/>
        <w:numPr>
          <w:ilvl w:val="0"/>
          <w:numId w:val="2"/>
        </w:numPr>
        <w:spacing w:before="60" w:after="60"/>
      </w:pPr>
      <w:r>
        <w:rPr>
          <w:rFonts w:ascii="Arial" w:cs="Arial" w:eastAsia="Arial" w:hAnsi="Arial"/>
          <w:b w:val="false"/>
          <w:bCs w:val="false"/>
          <w:color w:val="0D0D0D"/>
          <w:sz w:val="20"/>
          <w:szCs w:val="20"/>
        </w:rPr>
        <w:t xml:space="preserve">Constraint inferences emit ASM_CONSTRAINT_LEARNED</w:t>
      </w:r>
    </w:p>
    <w:p>
      <w:pPr>
        <w:spacing w:before="200" w:after="80"/>
      </w:pPr>
      <w:r>
        <w:rPr>
          <w:rFonts w:ascii="Arial" w:cs="Arial" w:eastAsia="Arial" w:hAnsi="Arial"/>
          <w:b/>
          <w:bCs/>
          <w:caps/>
          <w:color w:val="555555"/>
          <w:sz w:val="20"/>
          <w:szCs w:val="20"/>
        </w:rPr>
        <w:t xml:space="preserve">State Transition Modeler</w:t>
      </w:r>
    </w:p>
    <w:p>
      <w:pPr>
        <w:pStyle w:val="ListParagraph"/>
        <w:numPr>
          <w:ilvl w:val="0"/>
          <w:numId w:val="2"/>
        </w:numPr>
        <w:spacing w:before="60" w:after="60"/>
      </w:pPr>
      <w:r>
        <w:rPr>
          <w:rFonts w:ascii="Arial" w:cs="Arial" w:eastAsia="Arial" w:hAnsi="Arial"/>
          <w:b w:val="false"/>
          <w:bCs w:val="false"/>
          <w:color w:val="0D0D0D"/>
          <w:sz w:val="20"/>
          <w:szCs w:val="20"/>
        </w:rPr>
        <w:t xml:space="preserve">Observes resource state changes from sequential request/response pairs</w:t>
      </w:r>
    </w:p>
    <w:p>
      <w:pPr>
        <w:pStyle w:val="ListParagraph"/>
        <w:numPr>
          <w:ilvl w:val="0"/>
          <w:numId w:val="2"/>
        </w:numPr>
        <w:spacing w:before="60" w:after="60"/>
      </w:pPr>
      <w:r>
        <w:rPr>
          <w:rFonts w:ascii="Arial" w:cs="Arial" w:eastAsia="Arial" w:hAnsi="Arial"/>
          <w:b w:val="false"/>
          <w:bCs w:val="false"/>
          <w:color w:val="0D0D0D"/>
          <w:sz w:val="20"/>
          <w:szCs w:val="20"/>
        </w:rPr>
        <w:t xml:space="preserve">Models valid transition graph: PENDING → APPROVED → COMPLETED, etc.</w:t>
      </w:r>
    </w:p>
    <w:p>
      <w:pPr>
        <w:pStyle w:val="ListParagraph"/>
        <w:numPr>
          <w:ilvl w:val="0"/>
          <w:numId w:val="2"/>
        </w:numPr>
        <w:spacing w:before="60" w:after="60"/>
      </w:pPr>
      <w:r>
        <w:rPr>
          <w:rFonts w:ascii="Arial" w:cs="Arial" w:eastAsia="Arial" w:hAnsi="Arial"/>
          <w:b w:val="false"/>
          <w:bCs w:val="false"/>
          <w:color w:val="0D0D0D"/>
          <w:sz w:val="20"/>
          <w:szCs w:val="20"/>
        </w:rPr>
        <w:t xml:space="preserve">Identifies skippable transitions as hypothesis objects for manual review</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B7770D"/>
          <w:sz w:val="22"/>
          <w:szCs w:val="22"/>
        </w:rPr>
        <w:t xml:space="preserve">Hypothesis Objects</w:t>
      </w:r>
    </w:p>
    <w:p>
      <w:pPr>
        <w:spacing w:before="80" w:after="80"/>
      </w:pPr>
      <w:r>
        <w:rPr>
          <w:rFonts w:ascii="Arial" w:cs="Arial" w:eastAsia="Arial" w:hAnsi="Arial"/>
          <w:color w:val="0D0D0D"/>
          <w:sz w:val="20"/>
          <w:szCs w:val="20"/>
        </w:rPr>
        <w:t xml:space="preserve">Every ASM inference produces a SemanticHypothesis object — not a finding. A hypothesis is a structured claim with evidence. It is committed to the DecisionLedger as a SEMANTIC_HYPOTHESIS decision and emitted as an ASM_* event. The hypothesis is either confirmed by subsequent observation or expires. This is the formal separation between inference and exploitation.</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B7770D"/>
          <w:sz w:val="22"/>
          <w:szCs w:val="22"/>
        </w:rPr>
        <w:t xml:space="preserve">Canonical Integration</w:t>
      </w:r>
    </w:p>
    <w:p>
      <w:pPr>
        <w:pStyle w:val="ListParagraph"/>
        <w:numPr>
          <w:ilvl w:val="0"/>
          <w:numId w:val="2"/>
        </w:numPr>
        <w:spacing w:before="60" w:after="60"/>
      </w:pPr>
      <w:r>
        <w:rPr>
          <w:rFonts w:ascii="Arial" w:cs="Arial" w:eastAsia="Arial" w:hAnsi="Arial"/>
          <w:b w:val="false"/>
          <w:bCs w:val="false"/>
          <w:color w:val="0D0D0D"/>
          <w:sz w:val="20"/>
          <w:szCs w:val="20"/>
        </w:rPr>
        <w:t xml:space="preserve">Entity and relationship inference operates on EventStore replay — zero additional requests</w:t>
      </w:r>
    </w:p>
    <w:p>
      <w:pPr>
        <w:pStyle w:val="ListParagraph"/>
        <w:numPr>
          <w:ilvl w:val="0"/>
          <w:numId w:val="2"/>
        </w:numPr>
        <w:spacing w:before="60" w:after="60"/>
      </w:pPr>
      <w:r>
        <w:rPr>
          <w:rFonts w:ascii="Arial" w:cs="Arial" w:eastAsia="Arial" w:hAnsi="Arial"/>
          <w:b w:val="false"/>
          <w:bCs w:val="false"/>
          <w:color w:val="0D0D0D"/>
          <w:sz w:val="20"/>
          <w:szCs w:val="20"/>
        </w:rPr>
        <w:t xml:space="preserve">Constraint inference uses T2a ExecutionPolicyRuntime requests with budget accounting</w:t>
      </w:r>
    </w:p>
    <w:p>
      <w:pPr>
        <w:pStyle w:val="ListParagraph"/>
        <w:numPr>
          <w:ilvl w:val="0"/>
          <w:numId w:val="2"/>
        </w:numPr>
        <w:spacing w:before="60" w:after="60"/>
      </w:pPr>
      <w:r>
        <w:rPr>
          <w:rFonts w:ascii="Arial" w:cs="Arial" w:eastAsia="Arial" w:hAnsi="Arial"/>
          <w:b w:val="false"/>
          <w:bCs w:val="false"/>
          <w:color w:val="0D0D0D"/>
          <w:sz w:val="20"/>
          <w:szCs w:val="20"/>
        </w:rPr>
        <w:t xml:space="preserve">All inferences commit SEMANTIC_HYPOTHESIS DecisionPoints to the DecisionLedger</w:t>
      </w:r>
    </w:p>
    <w:p>
      <w:pPr>
        <w:pStyle w:val="ListParagraph"/>
        <w:numPr>
          <w:ilvl w:val="0"/>
          <w:numId w:val="2"/>
        </w:numPr>
        <w:spacing w:before="60" w:after="60"/>
      </w:pPr>
      <w:r>
        <w:rPr>
          <w:rFonts w:ascii="Arial" w:cs="Arial" w:eastAsia="Arial" w:hAnsi="Arial"/>
          <w:b w:val="false"/>
          <w:bCs w:val="false"/>
          <w:color w:val="0D0D0D"/>
          <w:sz w:val="20"/>
          <w:szCs w:val="20"/>
        </w:rPr>
        <w:t xml:space="preserve">ASM graph integrates with existing KnowledgeGraph/Cortex infrastructure as a subgraph</w:t>
      </w:r>
    </w:p>
    <w:p>
      <w:pPr>
        <w:pStyle w:val="ListParagraph"/>
        <w:numPr>
          <w:ilvl w:val="0"/>
          <w:numId w:val="2"/>
        </w:numPr>
        <w:spacing w:before="60" w:after="60"/>
      </w:pPr>
      <w:r>
        <w:rPr>
          <w:rFonts w:ascii="Arial" w:cs="Arial" w:eastAsia="Arial" w:hAnsi="Arial"/>
          <w:b w:val="false"/>
          <w:bCs w:val="false"/>
          <w:color w:val="0D0D0D"/>
          <w:sz w:val="20"/>
          <w:szCs w:val="20"/>
        </w:rPr>
        <w:t xml:space="preserve">Strategos reads ASM subgraph when selecting attack surface — informed targeting, not arbitrary fuzzing</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B7770D"/>
          <w:sz w:val="22"/>
          <w:szCs w:val="22"/>
        </w:rPr>
        <w:t xml:space="preserve">Revised Estimate</w:t>
      </w:r>
    </w:p>
    <w:p>
      <w:pPr>
        <w:pBdr>
          <w:left w:val="single" w:color="B7770D" w:sz="14" w:space="10"/>
        </w:pBdr>
        <w:spacing w:before="140" w:after="140"/>
        <w:ind w:left="360"/>
      </w:pPr>
      <w:r>
        <w:rPr>
          <w:rFonts w:ascii="Arial" w:cs="Arial" w:eastAsia="Arial" w:hAnsi="Arial"/>
          <w:b/>
          <w:bCs/>
          <w:color w:val="B7770D"/>
          <w:sz w:val="20"/>
          <w:szCs w:val="20"/>
        </w:rPr>
        <w:t xml:space="preserve">Honest timeline:  </w:t>
      </w:r>
      <w:r>
        <w:rPr>
          <w:rFonts w:ascii="Arial" w:cs="Arial" w:eastAsia="Arial" w:hAnsi="Arial"/>
          <w:color w:val="0D0D0D"/>
          <w:sz w:val="20"/>
          <w:szCs w:val="20"/>
        </w:rPr>
        <w:t xml:space="preserve">The original 4-week estimate was wrong. The graph layer expansion, constraint engine, state machine modeler, hypothesis lifecycle management, and Cortex integration are 10–12 weeks of engineering done correctly.</w:t>
      </w:r>
    </w:p>
    <w:p>
      <w:pPr>
        <w:pStyle w:val="ListParagraph"/>
        <w:numPr>
          <w:ilvl w:val="0"/>
          <w:numId w:val="2"/>
        </w:numPr>
        <w:spacing w:before="60" w:after="60"/>
      </w:pPr>
      <w:r>
        <w:rPr>
          <w:rFonts w:ascii="Arial" w:cs="Arial" w:eastAsia="Arial" w:hAnsi="Arial"/>
          <w:b w:val="false"/>
          <w:bCs w:val="false"/>
          <w:color w:val="0D0D0D"/>
          <w:sz w:val="20"/>
          <w:szCs w:val="20"/>
        </w:rPr>
        <w:t xml:space="preserve">Phase 1 (3 wks): Entity Registry + Relationship Mapper (EventStore replay, no new requests)</w:t>
      </w:r>
    </w:p>
    <w:p>
      <w:pPr>
        <w:pStyle w:val="ListParagraph"/>
        <w:numPr>
          <w:ilvl w:val="0"/>
          <w:numId w:val="2"/>
        </w:numPr>
        <w:spacing w:before="60" w:after="60"/>
      </w:pPr>
      <w:r>
        <w:rPr>
          <w:rFonts w:ascii="Arial" w:cs="Arial" w:eastAsia="Arial" w:hAnsi="Arial"/>
          <w:b w:val="false"/>
          <w:bCs w:val="false"/>
          <w:color w:val="0D0D0D"/>
          <w:sz w:val="20"/>
          <w:szCs w:val="20"/>
        </w:rPr>
        <w:t xml:space="preserve">Phase 2 (3 wks): Constraint Inference Engine (T2a probes, binary search, budget accounting)</w:t>
      </w:r>
    </w:p>
    <w:p>
      <w:pPr>
        <w:pStyle w:val="ListParagraph"/>
        <w:numPr>
          <w:ilvl w:val="0"/>
          <w:numId w:val="2"/>
        </w:numPr>
        <w:spacing w:before="60" w:after="60"/>
      </w:pPr>
      <w:r>
        <w:rPr>
          <w:rFonts w:ascii="Arial" w:cs="Arial" w:eastAsia="Arial" w:hAnsi="Arial"/>
          <w:b w:val="false"/>
          <w:bCs w:val="false"/>
          <w:color w:val="0D0D0D"/>
          <w:sz w:val="20"/>
          <w:szCs w:val="20"/>
        </w:rPr>
        <w:t xml:space="preserve">Phase 3 (3 wks): State Transition Modeler + Hypothesis lifecycle management</w:t>
      </w:r>
    </w:p>
    <w:p>
      <w:pPr>
        <w:pStyle w:val="ListParagraph"/>
        <w:numPr>
          <w:ilvl w:val="0"/>
          <w:numId w:val="2"/>
        </w:numPr>
        <w:spacing w:before="60" w:after="60"/>
      </w:pPr>
      <w:r>
        <w:rPr>
          <w:rFonts w:ascii="Arial" w:cs="Arial" w:eastAsia="Arial" w:hAnsi="Arial"/>
          <w:b w:val="false"/>
          <w:bCs w:val="false"/>
          <w:color w:val="0D0D0D"/>
          <w:sz w:val="20"/>
          <w:szCs w:val="20"/>
        </w:rPr>
        <w:t xml:space="preserve">Phase 4 (3 wks): Cortex/KnowledgeGraph integration + Strategos read path</w:t>
      </w:r>
    </w:p>
    <w:p>
      <w:pPr>
        <w:spacing w:before="120" w:after="0"/>
      </w:pPr>
      <w:r>
        <w:rPr>
          <w:rFonts w:ascii="Arial" w:cs="Arial" w:eastAsia="Arial" w:hAnsi="Arial"/>
        </w:rPr>
        <w:t xml:space="preserve"/>
      </w:r>
    </w:p>
    <w:p>
      <w:pPr>
        <w:pStyle w:val="Heading3"/>
        <w:spacing w:before="280" w:after="100"/>
      </w:pPr>
      <w:r>
        <w:rPr>
          <w:rFonts w:ascii="Arial" w:cs="Arial" w:eastAsia="Arial" w:hAnsi="Arial"/>
          <w:b/>
          <w:bCs/>
          <w:color w:val="B7770D"/>
          <w:sz w:val="22"/>
          <w:szCs w:val="22"/>
        </w:rPr>
        <w:t xml:space="preserve">Module Location</w:t>
      </w:r>
    </w:p>
    <w:p>
      <w:pPr>
        <w:shd w:fill="F0F0F0" w:val="clear"/>
        <w:spacing w:before="20" w:after="20"/>
        <w:ind w:left="360"/>
      </w:pPr>
      <w:r>
        <w:rPr>
          <w:rFonts w:ascii="Courier New" w:cs="Courier New" w:eastAsia="Courier New" w:hAnsi="Courier New"/>
          <w:color w:val="1A1A2E"/>
          <w:sz w:val="18"/>
          <w:szCs w:val="18"/>
        </w:rPr>
        <w:t xml:space="preserve">core/sentinel/asm/</w:t>
      </w:r>
    </w:p>
    <w:p>
      <w:pPr>
        <w:shd w:fill="F0F0F0" w:val="clear"/>
        <w:spacing w:before="20" w:after="20"/>
        <w:ind w:left="360"/>
      </w:pPr>
      <w:r>
        <w:rPr>
          <w:rFonts w:ascii="Courier New" w:cs="Courier New" w:eastAsia="Courier New" w:hAnsi="Courier New"/>
          <w:color w:val="1A1A2E"/>
          <w:sz w:val="18"/>
          <w:szCs w:val="18"/>
        </w:rPr>
        <w:t xml:space="preserve">  model.py       — AppSemanticModel, EntityRegistry, RelationshipMapper</w:t>
      </w:r>
    </w:p>
    <w:p>
      <w:pPr>
        <w:shd w:fill="F0F0F0" w:val="clear"/>
        <w:spacing w:before="20" w:after="20"/>
        <w:ind w:left="360"/>
      </w:pPr>
      <w:r>
        <w:rPr>
          <w:rFonts w:ascii="Courier New" w:cs="Courier New" w:eastAsia="Courier New" w:hAnsi="Courier New"/>
          <w:color w:val="1A1A2E"/>
          <w:sz w:val="18"/>
          <w:szCs w:val="18"/>
        </w:rPr>
        <w:t xml:space="preserve">  constraints.py — ConstraintInferenceEngine, SemanticConstraint</w:t>
      </w:r>
    </w:p>
    <w:p>
      <w:pPr>
        <w:shd w:fill="F0F0F0" w:val="clear"/>
        <w:spacing w:before="20" w:after="20"/>
        <w:ind w:left="360"/>
      </w:pPr>
      <w:r>
        <w:rPr>
          <w:rFonts w:ascii="Courier New" w:cs="Courier New" w:eastAsia="Courier New" w:hAnsi="Courier New"/>
          <w:color w:val="1A1A2E"/>
          <w:sz w:val="18"/>
          <w:szCs w:val="18"/>
        </w:rPr>
        <w:t xml:space="preserve">  states.py      — StateTransitionModeler, TransitionGraph</w:t>
      </w:r>
    </w:p>
    <w:p>
      <w:pPr>
        <w:shd w:fill="F0F0F0" w:val="clear"/>
        <w:spacing w:before="20" w:after="20"/>
        <w:ind w:left="360"/>
      </w:pPr>
      <w:r>
        <w:rPr>
          <w:rFonts w:ascii="Courier New" w:cs="Courier New" w:eastAsia="Courier New" w:hAnsi="Courier New"/>
          <w:color w:val="1A1A2E"/>
          <w:sz w:val="18"/>
          <w:szCs w:val="18"/>
        </w:rPr>
        <w:t xml:space="preserve">  hypothesis.py  — SemanticHypothesis, HypothesisLifecycle</w:t>
      </w:r>
    </w:p>
    <w:p>
      <w:pPr>
        <w:shd w:fill="F0F0F0" w:val="clear"/>
        <w:spacing w:before="20" w:after="20"/>
        <w:ind w:left="360"/>
      </w:pPr>
      <w:r>
        <w:rPr>
          <w:rFonts w:ascii="Courier New" w:cs="Courier New" w:eastAsia="Courier New" w:hAnsi="Courier New"/>
          <w:color w:val="1A1A2E"/>
          <w:sz w:val="18"/>
          <w:szCs w:val="18"/>
        </w:rPr>
        <w:t xml:space="preserve">  tool.py        — ASMTool (MCP-compatible wrapper)</w:t>
      </w:r>
    </w:p>
    <w:p>
      <w:r>
        <w:br w:type="page"/>
      </w:r>
    </w:p>
    <w:p>
      <w:pPr>
        <w:pStyle w:val="Heading1"/>
        <w:shd w:fill="1A1A2E" w:val="clear"/>
        <w:spacing w:before="600" w:after="240"/>
      </w:pPr>
      <w:r>
        <w:rPr>
          <w:rFonts w:ascii="Arial" w:cs="Arial" w:eastAsia="Arial" w:hAnsi="Arial"/>
          <w:b/>
          <w:bCs/>
          <w:color w:val="FFFFFF"/>
          <w:sz w:val="36"/>
          <w:szCs w:val="36"/>
        </w:rPr>
        <w:t xml:space="preserve">  4. Build Roadmap</w:t>
      </w:r>
    </w:p>
    <w:p>
      <w:pPr>
        <w:spacing w:before="120" w:after="0"/>
      </w:pPr>
      <w:r>
        <w:rPr>
          <w:rFonts w:ascii="Arial" w:cs="Arial" w:eastAsia="Arial" w:hAnsi="Arial"/>
        </w:rPr>
        <w:t xml:space="preserve"/>
      </w:r>
    </w:p>
    <w:p>
      <w:pPr>
        <w:spacing w:before="80" w:after="80"/>
      </w:pPr>
      <w:r>
        <w:rPr>
          <w:rFonts w:ascii="Arial" w:cs="Arial" w:eastAsia="Arial" w:hAnsi="Arial"/>
          <w:color w:val="0D0D0D"/>
          <w:sz w:val="20"/>
          <w:szCs w:val="20"/>
        </w:rPr>
        <w:t xml:space="preserve">Ordered by: (1) lowest architectural risk, (2) highest bounty ROI per engineering week, (3) dependency order — later modules build on earlier ones.</w:t>
      </w:r>
    </w:p>
    <w:p>
      <w:pPr>
        <w:spacing w:before="20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400"/>
        <w:gridCol w:w="1400"/>
        <w:gridCol w:w="2160"/>
      </w:tblGrid>
      <w:tr>
        <w:tc>
          <w:tcPr>
            <w:tcW w:type="dxa" w:w="18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Period</w:t>
            </w:r>
          </w:p>
        </w:tc>
        <w:tc>
          <w:tcPr>
            <w:tcW w:type="dxa" w:w="2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Module</w:t>
            </w:r>
          </w:p>
        </w:tc>
        <w:tc>
          <w:tcPr>
            <w:tcW w:type="dxa" w:w="14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Tier</w:t>
            </w:r>
          </w:p>
        </w:tc>
        <w:tc>
          <w:tcPr>
            <w:tcW w:type="dxa" w:w="14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Duration</w:t>
            </w:r>
          </w:p>
        </w:tc>
        <w:tc>
          <w:tcPr>
            <w:tcW w:type="dxa" w:w="2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before="80" w:after="80"/>
            </w:pPr>
            <w:r>
              <w:rPr>
                <w:rFonts w:ascii="Arial" w:cs="Arial" w:eastAsia="Arial" w:hAnsi="Arial"/>
                <w:b/>
                <w:bCs/>
                <w:color w:val="FFFFFF"/>
                <w:sz w:val="18"/>
                <w:szCs w:val="18"/>
              </w:rPr>
              <w:t xml:space="preserve">Depends On</w:t>
            </w:r>
          </w:p>
        </w:tc>
      </w:tr>
      <w:tr>
        <w:tc>
          <w:tcPr>
            <w:tcW w:type="dxa" w:w="18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1A1A2E"/>
                <w:sz w:val="18"/>
                <w:szCs w:val="18"/>
              </w:rPr>
              <w:t xml:space="preserve">Weeks 1–2</w:t>
            </w:r>
          </w:p>
        </w:tc>
        <w:tc>
          <w:tcPr>
            <w:tcW w:type="dxa" w:w="26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Behavioral Equivalence Chain Engine</w:t>
            </w:r>
          </w:p>
        </w:tc>
        <w:tc>
          <w:tcPr>
            <w:tcW w:type="dxa" w:w="14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555555"/>
                <w:sz w:val="18"/>
                <w:szCs w:val="18"/>
              </w:rPr>
              <w:t xml:space="preserve">T2a</w:t>
            </w:r>
          </w:p>
        </w:tc>
        <w:tc>
          <w:tcPr>
            <w:tcW w:type="dxa" w:w="14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2 weeks</w:t>
            </w:r>
          </w:p>
        </w:tc>
        <w:tc>
          <w:tcPr>
            <w:tcW w:type="dxa" w:w="21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555555"/>
                <w:sz w:val="18"/>
                <w:szCs w:val="18"/>
              </w:rPr>
              <w:t xml:space="preserve">VulnVerifier (exists)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1A1A2E"/>
                <w:sz w:val="18"/>
                <w:szCs w:val="18"/>
              </w:rPr>
              <w:t xml:space="preserve">Weeks 3–5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Exploit Replay Mutation Engine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555555"/>
                <w:sz w:val="18"/>
                <w:szCs w:val="18"/>
              </w:rPr>
              <w:t xml:space="preserve">T2b–T3</w:t>
            </w:r>
          </w:p>
        </w:tc>
        <w:tc>
          <w:tcPr>
            <w:tcW w:type="dxa" w:w="1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3 weeks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555555"/>
                <w:sz w:val="18"/>
                <w:szCs w:val="18"/>
              </w:rPr>
              <w:t xml:space="preserve">VulnVerifier, EquivChain</w:t>
            </w:r>
          </w:p>
        </w:tc>
      </w:tr>
      <w:tr>
        <w:tc>
          <w:tcPr>
            <w:tcW w:type="dxa" w:w="18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1A1A2E"/>
                <w:sz w:val="18"/>
                <w:szCs w:val="18"/>
              </w:rPr>
              <w:t xml:space="preserve">Weeks 6–8</w:t>
            </w:r>
          </w:p>
        </w:tc>
        <w:tc>
          <w:tcPr>
            <w:tcW w:type="dxa" w:w="26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Temporal State Attack Sequencer</w:t>
            </w:r>
          </w:p>
        </w:tc>
        <w:tc>
          <w:tcPr>
            <w:tcW w:type="dxa" w:w="14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555555"/>
                <w:sz w:val="18"/>
                <w:szCs w:val="18"/>
              </w:rPr>
              <w:t xml:space="preserve">T2b</w:t>
            </w:r>
          </w:p>
        </w:tc>
        <w:tc>
          <w:tcPr>
            <w:tcW w:type="dxa" w:w="14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3 weeks</w:t>
            </w:r>
          </w:p>
        </w:tc>
        <w:tc>
          <w:tcPr>
            <w:tcW w:type="dxa" w:w="21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555555"/>
                <w:sz w:val="18"/>
                <w:szCs w:val="18"/>
              </w:rPr>
              <w:t xml:space="preserve">ExecutionPolicy, DecisionLedger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1A1A2E"/>
                <w:sz w:val="18"/>
                <w:szCs w:val="18"/>
              </w:rPr>
              <w:t xml:space="preserve">Weeks 9–11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Trust Boundary Inference Engine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555555"/>
                <w:sz w:val="18"/>
                <w:szCs w:val="18"/>
              </w:rPr>
              <w:t xml:space="preserve">T2a–T2b</w:t>
            </w:r>
          </w:p>
        </w:tc>
        <w:tc>
          <w:tcPr>
            <w:tcW w:type="dxa" w:w="1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3 weeks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before="80" w:after="80"/>
            </w:pPr>
            <w:r>
              <w:rPr>
                <w:rFonts w:ascii="Arial" w:cs="Arial" w:eastAsia="Arial" w:hAnsi="Arial"/>
                <w:b w:val="false"/>
                <w:bCs w:val="false"/>
                <w:color w:val="555555"/>
                <w:sz w:val="18"/>
                <w:szCs w:val="18"/>
              </w:rPr>
              <w:t xml:space="preserve">EventStore replay, AuthDiff</w:t>
            </w:r>
          </w:p>
        </w:tc>
      </w:tr>
      <w:tr>
        <w:tc>
          <w:tcPr>
            <w:tcW w:type="dxa" w:w="18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1A1A2E"/>
                <w:sz w:val="18"/>
                <w:szCs w:val="18"/>
              </w:rPr>
              <w:t xml:space="preserve">Weeks 12–23</w:t>
            </w:r>
          </w:p>
        </w:tc>
        <w:tc>
          <w:tcPr>
            <w:tcW w:type="dxa" w:w="26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0D0D0D"/>
                <w:sz w:val="18"/>
                <w:szCs w:val="18"/>
              </w:rPr>
              <w:t xml:space="preserve">Application Semantic Model</w:t>
            </w:r>
          </w:p>
        </w:tc>
        <w:tc>
          <w:tcPr>
            <w:tcW w:type="dxa" w:w="14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555555"/>
                <w:sz w:val="18"/>
                <w:szCs w:val="18"/>
              </w:rPr>
              <w:t xml:space="preserve">T0–T2b</w:t>
            </w:r>
          </w:p>
        </w:tc>
        <w:tc>
          <w:tcPr>
            <w:tcW w:type="dxa" w:w="140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bCs/>
                <w:color w:val="C0392B"/>
                <w:sz w:val="18"/>
                <w:szCs w:val="18"/>
              </w:rPr>
              <w:t xml:space="preserve">12 weeks</w:t>
            </w:r>
          </w:p>
        </w:tc>
        <w:tc>
          <w:tcPr>
            <w:tcW w:type="dxa" w:w="2160"/>
            <w:tcBorders>
              <w:top w:val="single" w:color="AAAAAA" w:sz="1"/>
              <w:left w:val="single" w:color="AAAAAA" w:sz="1"/>
              <w:bottom w:val="single" w:color="AAAAAA" w:sz="1"/>
              <w:right w:val="single" w:color="AAAAAA" w:sz="1"/>
            </w:tcBorders>
            <w:shd w:fill="F4F6F8" w:val="clear"/>
            <w:tcMar>
              <w:top w:type="dxa" w:w="80"/>
              <w:left w:type="dxa" w:w="160"/>
              <w:bottom w:type="dxa" w:w="80"/>
              <w:right w:type="dxa" w:w="160"/>
            </w:tcMar>
          </w:tcPr>
          <w:p>
            <w:pPr>
              <w:spacing w:before="80" w:after="80"/>
            </w:pPr>
            <w:r>
              <w:rPr>
                <w:rFonts w:ascii="Arial" w:cs="Arial" w:eastAsia="Arial" w:hAnsi="Arial"/>
                <w:b w:val="false"/>
                <w:bCs w:val="false"/>
                <w:color w:val="555555"/>
                <w:sz w:val="18"/>
                <w:szCs w:val="18"/>
              </w:rPr>
              <w:t xml:space="preserve">All above + Cortex/KnowledgeGraph</w:t>
            </w:r>
          </w:p>
        </w:tc>
      </w:tr>
    </w:tbl>
    <w:p>
      <w:pPr>
        <w:spacing w:before="400" w:after="0"/>
      </w:pPr>
      <w:r>
        <w:rPr>
          <w:rFonts w:ascii="Arial" w:cs="Arial" w:eastAsia="Arial" w:hAnsi="Arial"/>
        </w:rPr>
        <w:t xml:space="preserve"/>
      </w:r>
    </w:p>
    <w:p>
      <w:pPr>
        <w:pStyle w:val="Heading2"/>
        <w:pBdr>
          <w:bottom w:val="single" w:color="C0392B" w:sz="6" w:space="4"/>
        </w:pBdr>
        <w:spacing w:before="400" w:after="160"/>
      </w:pPr>
      <w:r>
        <w:rPr>
          <w:rFonts w:ascii="Arial" w:cs="Arial" w:eastAsia="Arial" w:hAnsi="Arial"/>
          <w:b/>
          <w:bCs/>
          <w:color w:val="1A1A2E"/>
          <w:sz w:val="28"/>
          <w:szCs w:val="28"/>
        </w:rPr>
        <w:t xml:space="preserve">What Gets Built in the First Two Weeks</w:t>
      </w:r>
    </w:p>
    <w:p>
      <w:pPr>
        <w:spacing w:before="120" w:after="0"/>
      </w:pPr>
      <w:r>
        <w:rPr>
          <w:rFonts w:ascii="Arial" w:cs="Arial" w:eastAsia="Arial" w:hAnsi="Arial"/>
        </w:rPr>
        <w:t xml:space="preserve"/>
      </w:r>
    </w:p>
    <w:p>
      <w:pPr>
        <w:spacing w:before="80" w:after="80"/>
      </w:pPr>
      <w:r>
        <w:rPr>
          <w:rFonts w:ascii="Arial" w:cs="Arial" w:eastAsia="Arial" w:hAnsi="Arial"/>
          <w:color w:val="0D0D0D"/>
          <w:sz w:val="20"/>
          <w:szCs w:val="20"/>
        </w:rPr>
        <w:t xml:space="preserve">The Behavioral Equivalence Chain Engine ships first because it is the lowest risk, lowest complexity, and immediately amplifies every finding that VulnVerifier has already confirmed. From day one of deployment, every confirmed finding automatically propagates across the attack surface. That is the baseline capability on which everything else is layered.</w:t>
      </w:r>
    </w:p>
    <w:p>
      <w:pPr>
        <w:spacing w:before="120" w:after="0"/>
      </w:pPr>
      <w:r>
        <w:rPr>
          <w:rFonts w:ascii="Arial" w:cs="Arial" w:eastAsia="Arial" w:hAnsi="Arial"/>
        </w:rPr>
        <w:t xml:space="preserve"/>
      </w:r>
    </w:p>
    <w:p>
      <w:pPr>
        <w:spacing w:before="80" w:after="80"/>
      </w:pPr>
      <w:r>
        <w:rPr>
          <w:rFonts w:ascii="Arial" w:cs="Arial" w:eastAsia="Arial" w:hAnsi="Arial"/>
          <w:color w:val="0D0D0D"/>
          <w:sz w:val="20"/>
          <w:szCs w:val="20"/>
        </w:rPr>
        <w:t xml:space="preserve">The Replay Mutation Engine ships second because it also requires no new architectural infrastructure — it runs on the same ExecutionPolicyRuntime, DecisionLedger, and EventBus as everything else. Together, these two modules transform confirmed atomic findings into systemic, maximum-impact evidence bundles without requiring any new canonical infrastructure.</w:t>
      </w:r>
    </w:p>
    <w:p>
      <w:pPr>
        <w:spacing w:before="200" w:after="0"/>
      </w:pPr>
      <w:r>
        <w:rPr>
          <w:rFonts w:ascii="Arial" w:cs="Arial" w:eastAsia="Arial" w:hAnsi="Arial"/>
        </w:rPr>
        <w:t xml:space="preserve"/>
      </w:r>
    </w:p>
    <w:p>
      <w:pPr>
        <w:pStyle w:val="Heading1"/>
        <w:shd w:fill="1A1A2E" w:val="clear"/>
        <w:spacing w:before="600" w:after="240"/>
      </w:pPr>
      <w:r>
        <w:rPr>
          <w:rFonts w:ascii="Arial" w:cs="Arial" w:eastAsia="Arial" w:hAnsi="Arial"/>
          <w:b/>
          <w:bCs/>
          <w:color w:val="FFFFFF"/>
          <w:sz w:val="36"/>
          <w:szCs w:val="36"/>
        </w:rPr>
        <w:t xml:space="preserve">  5. Open Engineering Questions</w:t>
      </w:r>
    </w:p>
    <w:p>
      <w:pPr>
        <w:spacing w:before="120" w:after="0"/>
      </w:pPr>
      <w:r>
        <w:rPr>
          <w:rFonts w:ascii="Arial" w:cs="Arial" w:eastAsia="Arial" w:hAnsi="Arial"/>
        </w:rPr>
        <w:t xml:space="preserve"/>
      </w:r>
    </w:p>
    <w:p>
      <w:pPr>
        <w:spacing w:before="80" w:after="80"/>
      </w:pPr>
      <w:r>
        <w:rPr>
          <w:rFonts w:ascii="Arial" w:cs="Arial" w:eastAsia="Arial" w:hAnsi="Arial"/>
          <w:color w:val="0D0D0D"/>
          <w:sz w:val="20"/>
          <w:szCs w:val="20"/>
        </w:rPr>
        <w:t xml:space="preserve">These questions require decisions before implementation begins. They are not blockers for Weeks 1–2, but they must be resolved before Week 6.</w:t>
      </w:r>
    </w:p>
    <w:p>
      <w:pPr>
        <w:spacing w:before="160" w:after="0"/>
      </w:pPr>
      <w:r>
        <w:rPr>
          <w:rFonts w:ascii="Arial" w:cs="Arial" w:eastAsia="Arial" w:hAnsi="Arial"/>
        </w:rPr>
        <w:t xml:space="preserve"/>
      </w:r>
    </w:p>
    <w:p>
      <w:pPr>
        <w:pStyle w:val="ListParagraph"/>
        <w:numPr>
          <w:ilvl w:val="0"/>
          <w:numId w:val="2"/>
        </w:numPr>
        <w:spacing w:before="60" w:after="60"/>
      </w:pPr>
      <w:r>
        <w:rPr>
          <w:rFonts w:ascii="Arial" w:cs="Arial" w:eastAsia="Arial" w:hAnsi="Arial"/>
          <w:b w:val="false"/>
          <w:bCs w:val="false"/>
          <w:color w:val="0D0D0D"/>
          <w:sz w:val="20"/>
          <w:szCs w:val="20"/>
        </w:rPr>
        <w:t xml:space="preserve">Storage model for evidence bundles: currently EvidenceBundle is in-memory. At scale, race condition evidence (50 requests × 5 reproduction runs) requires a persistence layer. Decision: flat file per finding_id in a bounded evidence/ directory, or extend the EventStore with a blob attachment model?</w:t>
      </w:r>
    </w:p>
    <w:p>
      <w:pPr>
        <w:pStyle w:val="ListParagraph"/>
        <w:numPr>
          <w:ilvl w:val="0"/>
          <w:numId w:val="2"/>
        </w:numPr>
        <w:spacing w:before="60" w:after="60"/>
      </w:pPr>
      <w:r>
        <w:rPr>
          <w:rFonts w:ascii="Arial" w:cs="Arial" w:eastAsia="Arial" w:hAnsi="Arial"/>
          <w:b w:val="false"/>
          <w:bCs w:val="false"/>
          <w:color w:val="0D0D0D"/>
          <w:sz w:val="20"/>
          <w:szCs w:val="20"/>
        </w:rPr>
        <w:t xml:space="preserve">RESEARCH mode behavior for Equivalence and Replay modules: these are T2a/T2b but produce finding amplification. Should RESEARCH mode suppress propagation entirely, or run it with a reduced candidate ceiling (e.g., max 5 endpoints)?</w:t>
      </w:r>
    </w:p>
    <w:p>
      <w:pPr>
        <w:pStyle w:val="ListParagraph"/>
        <w:numPr>
          <w:ilvl w:val="0"/>
          <w:numId w:val="2"/>
        </w:numPr>
        <w:spacing w:before="60" w:after="60"/>
      </w:pPr>
      <w:r>
        <w:rPr>
          <w:rFonts w:ascii="Arial" w:cs="Arial" w:eastAsia="Arial" w:hAnsi="Arial"/>
          <w:b w:val="false"/>
          <w:bCs w:val="false"/>
          <w:color w:val="0D0D0D"/>
          <w:sz w:val="20"/>
          <w:szCs w:val="20"/>
        </w:rPr>
        <w:t xml:space="preserve">KnowledgeGraph write API: the ASM needs to write entity and relationship nodes to Cortex. The current graph write path is not documented as a stable API. This needs to be formalized before Phase 4 of ASM.</w:t>
      </w:r>
    </w:p>
    <w:p>
      <w:pPr>
        <w:pStyle w:val="ListParagraph"/>
        <w:numPr>
          <w:ilvl w:val="0"/>
          <w:numId w:val="2"/>
        </w:numPr>
        <w:spacing w:before="60" w:after="60"/>
      </w:pPr>
      <w:r>
        <w:rPr>
          <w:rFonts w:ascii="Arial" w:cs="Arial" w:eastAsia="Arial" w:hAnsi="Arial"/>
          <w:b w:val="false"/>
          <w:bCs w:val="false"/>
          <w:color w:val="0D0D0D"/>
          <w:sz w:val="20"/>
          <w:szCs w:val="20"/>
        </w:rPr>
        <w:t xml:space="preserve">Concurrency batch acknowledgment UI contract: the human escalation gate for RACE batches requires a UI prompt. The Swift/Python IPC contract for requires_acknowledgment events needs to be specified.</w:t>
      </w:r>
    </w:p>
    <w:p>
      <w:pPr>
        <w:pStyle w:val="ListParagraph"/>
        <w:numPr>
          <w:ilvl w:val="0"/>
          <w:numId w:val="2"/>
        </w:numPr>
        <w:spacing w:before="60" w:after="60"/>
      </w:pPr>
      <w:r>
        <w:rPr>
          <w:rFonts w:ascii="Arial" w:cs="Arial" w:eastAsia="Arial" w:hAnsi="Arial"/>
          <w:b w:val="false"/>
          <w:bCs w:val="false"/>
          <w:color w:val="0D0D0D"/>
          <w:sz w:val="20"/>
          <w:szCs w:val="20"/>
        </w:rPr>
        <w:t xml:space="preserve">False positive feedback loop: when a hunter marks a finding as a false positive, does that finding's fingerprint get excluded from future Equivalence propagation? A feedback signal from the UI back to the EquivChainEngine is needed.</w:t>
      </w:r>
    </w:p>
    <w:p>
      <w:pPr>
        <w:spacing w:before="400" w:after="0"/>
      </w:pPr>
      <w:r>
        <w:rPr>
          <w:rFonts w:ascii="Arial" w:cs="Arial" w:eastAsia="Arial" w:hAnsi="Arial"/>
        </w:rPr>
        <w:t xml:space="preserve"/>
      </w:r>
    </w:p>
    <w:p>
      <w:pPr>
        <w:pStyle w:val="Heading1"/>
        <w:shd w:fill="1A1A2E" w:val="clear"/>
        <w:spacing w:before="600" w:after="240"/>
      </w:pPr>
      <w:r>
        <w:rPr>
          <w:rFonts w:ascii="Arial" w:cs="Arial" w:eastAsia="Arial" w:hAnsi="Arial"/>
          <w:b/>
          <w:bCs/>
          <w:color w:val="FFFFFF"/>
          <w:sz w:val="36"/>
          <w:szCs w:val="36"/>
        </w:rPr>
        <w:t xml:space="preserve">  Closing Statement</w:t>
      </w:r>
    </w:p>
    <w:p>
      <w:pPr>
        <w:spacing w:before="120" w:after="0"/>
      </w:pPr>
      <w:r>
        <w:rPr>
          <w:rFonts w:ascii="Arial" w:cs="Arial" w:eastAsia="Arial" w:hAnsi="Arial"/>
        </w:rPr>
        <w:t xml:space="preserve"/>
      </w:r>
    </w:p>
    <w:p>
      <w:pPr>
        <w:spacing w:before="80" w:after="160"/>
      </w:pPr>
      <w:r>
        <w:rPr>
          <w:rFonts w:ascii="Arial" w:cs="Arial" w:eastAsia="Arial" w:hAnsi="Arial"/>
          <w:color w:val="0D0D0D"/>
          <w:sz w:val="20"/>
          <w:szCs w:val="20"/>
        </w:rPr>
        <w:t xml:space="preserve">The original proposal was directionally correct. The features it described are the right problems to solve. This document is the corrected version: the same features, but specified against Sentinel's actual architecture rather than against an abstract vision of what the architecture might be.</w:t>
      </w:r>
    </w:p>
    <w:p>
      <w:pPr>
        <w:spacing w:before="0" w:after="160"/>
      </w:pPr>
      <w:r>
        <w:rPr>
          <w:rFonts w:ascii="Arial" w:cs="Arial" w:eastAsia="Arial" w:hAnsi="Arial"/>
          <w:color w:val="0D0D0D"/>
          <w:sz w:val="20"/>
          <w:szCs w:val="20"/>
        </w:rPr>
        <w:t xml:space="preserve">Built correctly — meaning through ExecutionPolicyRuntime, under CapabilityGate, committed to DecisionLedger, emitted to EventBus, replayable from EventStore — these five modules produce a platform that is categorically different from any existing scanner. Not because they are more aggressive, but because they are more rigorous. The evidence they generate is auditable, replayable, and structurally sound. That is what makes a finding undeniable to a program's security team.</w:t>
      </w:r>
    </w:p>
    <w:p>
      <w:pPr>
        <w:pBdr>
          <w:left w:val="single" w:color="C0392B" w:sz="14" w:space="10"/>
        </w:pBdr>
        <w:spacing w:before="140" w:after="140"/>
        <w:ind w:left="360"/>
      </w:pPr>
      <w:r>
        <w:rPr>
          <w:rFonts w:ascii="Arial" w:cs="Arial" w:eastAsia="Arial" w:hAnsi="Arial"/>
          <w:b/>
          <w:bCs/>
          <w:color w:val="C0392B"/>
          <w:sz w:val="20"/>
          <w:szCs w:val="20"/>
        </w:rPr>
        <w:t xml:space="preserve">The competitive position:  </w:t>
      </w:r>
      <w:r>
        <w:rPr>
          <w:rFonts w:ascii="Arial" w:cs="Arial" w:eastAsia="Arial" w:hAnsi="Arial"/>
          <w:color w:val="0D0D0D"/>
          <w:sz w:val="20"/>
          <w:szCs w:val="20"/>
        </w:rPr>
        <w:t xml:space="preserve">Every other tool fires payloads. SentinelForge reasons about applications, under policy, with auditable evidence. That is not a marketing claim — it is an architectural property.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jc w:val="center"/>
    </w:pPr>
    <w:r>
      <w:rPr>
        <w:rFonts w:ascii="Arial" w:cs="Arial" w:eastAsia="Arial" w:hAnsi="Arial"/>
        <w:color w:val="AAAAAA"/>
        <w:sz w:val="16"/>
        <w:szCs w:val="16"/>
      </w:rPr>
      <w:t xml:space="preserve">Deterministic. Auditable. Policy-gated.    </w:t>
    </w:r>
    <w:r>
      <w:rPr>
        <w:rFonts w:ascii="Arial" w:cs="Arial" w:eastAsia="Arial" w:hAnsi="Arial"/>
        <w:color w:val="C0392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rFonts w:ascii="Arial" w:cs="Arial" w:eastAsia="Arial" w:hAnsi="Arial"/>
        <w:color w:val="AAAAAA"/>
        <w:sz w:val="16"/>
        <w:szCs w:val="16"/>
      </w:rPr>
      <w:t xml:space="preserve">SentinelForge  //  Architecture Expansion Proposal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40"/>
      <w:outlineLvl w:val="0"/>
    </w:pPr>
    <w:rPr>
      <w:rFonts w:ascii="Arial" w:cs="Arial" w:eastAsia="Arial" w:hAnsi="Arial"/>
      <w:b/>
      <w:bCs/>
      <w:color w:val="FFFFFF"/>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80" w:after="1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2026-02-25T07:03:54.854Z</dcterms:created>
  <dcterms:modified xsi:type="dcterms:W3CDTF">2026-02-25T07:03:54.854Z</dcterms:modified>
</cp:coreProperties>
</file>

<file path=docProps/custom.xml><?xml version="1.0" encoding="utf-8"?>
<Properties xmlns="http://schemas.openxmlformats.org/officeDocument/2006/custom-properties" xmlns:vt="http://schemas.openxmlformats.org/officeDocument/2006/docPropsVTypes"/>
</file>