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E94560"/>
          <w:sz w:val="72"/>
          <w:szCs w:val="72"/>
        </w:rPr>
        <w:t xml:space="preserve">SENTINELFORGE</w:t>
      </w:r>
    </w:p>
    <w:p>
      <w:pPr>
        <w:spacing w:before="120" w:after="60"/>
        <w:jc w:val="center"/>
      </w:pPr>
      <w:r>
        <w:rPr>
          <w:rFonts w:ascii="Arial" w:cs="Arial" w:eastAsia="Arial" w:hAnsi="Arial"/>
          <w:b/>
          <w:bCs/>
          <w:color w:val="1A1A2E"/>
          <w:sz w:val="28"/>
          <w:szCs w:val="28"/>
        </w:rPr>
        <w:t xml:space="preserve">GODMODE FEATURE IMPLEMENTATION PLAN</w:t>
      </w:r>
    </w:p>
    <w:p>
      <w:pPr>
        <w:spacing w:before="0" w:after="960"/>
        <w:jc w:val="center"/>
      </w:pPr>
      <w:r>
        <w:rPr>
          <w:rFonts w:ascii="Arial" w:cs="Arial" w:eastAsia="Arial" w:hAnsi="Arial"/>
          <w:i/>
          <w:iCs/>
          <w:color w:val="CCCCCC"/>
          <w:sz w:val="22"/>
          <w:szCs w:val="22"/>
        </w:rPr>
        <w:t xml:space="preserve">5 Features That Don't Exist Anywhere Else</w:t>
      </w:r>
    </w:p>
    <w:p>
      <w:pPr>
        <w:spacing w:before="0" w:after="1440"/>
        <w:jc w:val="center"/>
      </w:pPr>
      <w:r>
        <w:rPr>
          <w:rFonts w:ascii="Arial" w:cs="Arial" w:eastAsia="Arial" w:hAnsi="Arial"/>
          <w:b/>
          <w:bCs/>
          <w:color w:val="E94560"/>
          <w:sz w:val="18"/>
          <w:szCs w:val="18"/>
        </w:rPr>
        <w:t xml:space="preserve">Ranked by Holy-Fuck Factor</w:t>
      </w:r>
    </w:p>
    <w:p>
      <w:pPr>
        <w:spacing w:before="0" w:after="2880"/>
        <w:ind w:left="720" w:right="720"/>
        <w:jc w:val="center"/>
      </w:pPr>
      <w:r>
        <w:rPr>
          <w:rFonts w:ascii="Arial" w:cs="Arial" w:eastAsia="Arial" w:hAnsi="Arial"/>
          <w:color w:val="0D0D0D"/>
          <w:sz w:val="20"/>
          <w:szCs w:val="20"/>
        </w:rPr>
        <w:t xml:space="preserve">This document outlines the implementation plan for five novel offensive intelligence features being added to SentinelForge. These are not incremental improvements. Each one solves a problem that every bug bounty hunter faces daily and that no existing tool — Burp Suite, Nuclei, or otherwise — has solved. The goal is autonomous, undeniable proof-of-impact bounty submissions at a P1 level.</w:t>
      </w:r>
    </w:p>
    <w:p>
      <w:r>
        <w:br w:type="page"/>
      </w:r>
    </w:p>
    <w:p>
      <w:pPr>
        <w:pStyle w:val="Heading1"/>
        <w:shd w:fill="1A1A2E" w:val="clear"/>
        <w:spacing w:before="480" w:after="240"/>
      </w:pPr>
      <w:r>
        <w:rPr>
          <w:rFonts w:ascii="Arial" w:cs="Arial" w:eastAsia="Arial" w:hAnsi="Arial"/>
          <w:b/>
          <w:bCs/>
          <w:color w:val="FFFFFF"/>
          <w:sz w:val="40"/>
          <w:szCs w:val="40"/>
        </w:rPr>
        <w:t xml:space="preserve">  Executive Summary</w:t>
      </w:r>
    </w:p>
    <w:p>
      <w:pPr>
        <w:spacing w:before="120" w:after="0"/>
      </w:pPr>
      <w:r>
        <w:t xml:space="preserve"/>
      </w:r>
    </w:p>
    <w:p>
      <w:pPr>
        <w:spacing w:before="80" w:after="80"/>
      </w:pPr>
      <w:r>
        <w:rPr>
          <w:rFonts w:ascii="Arial" w:cs="Arial" w:eastAsia="Arial" w:hAnsi="Arial"/>
          <w:color w:val="0D0D0D"/>
          <w:sz w:val="20"/>
          <w:szCs w:val="20"/>
        </w:rPr>
        <w:t xml:space="preserve">Five features, ranked by impact on bounty quality and autonomy. Each one addresses a gap that has existed in the industry for years.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080"/>
        <w:gridCol w:w="1500"/>
        <w:gridCol w:w="1500"/>
      </w:tblGrid>
      <w:tr>
        <w:tc>
          <w:tcPr>
            <w:tcW w:type="dxa" w:w="48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308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What It Solves</w:t>
            </w:r>
          </w:p>
        </w:tc>
        <w:tc>
          <w:tcPr>
            <w:tcW w:type="dxa" w:w="15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Est. Dev</w:t>
            </w:r>
          </w:p>
        </w:tc>
        <w:tc>
          <w:tcPr>
            <w:tcW w:type="dxa" w:w="15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Bounty Multiplier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0D0D"/>
                <w:sz w:val="18"/>
                <w:szCs w:val="18"/>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0D0D"/>
                <w:sz w:val="18"/>
                <w:szCs w:val="18"/>
              </w:rPr>
              <w:t xml:space="preserve">Temporal State Attack Sequencer</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0D0D"/>
                <w:sz w:val="18"/>
                <w:szCs w:val="18"/>
              </w:rPr>
              <w:t xml:space="preserve">Race conditions, TOCTOU, double-spend — automatically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0D0D"/>
                <w:sz w:val="18"/>
                <w:szCs w:val="18"/>
              </w:rPr>
              <w:t xml:space="preserve">3 wks</w:t>
            </w:r>
          </w:p>
        </w:tc>
        <w:tc>
          <w:tcPr>
            <w:tcW w:type="dxa" w:w="1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AE60"/>
                <w:sz w:val="18"/>
                <w:szCs w:val="18"/>
              </w:rPr>
              <w:t xml:space="preserve">10-50x</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Application Semantic Model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Business logic flaws, IDOR chains, object-relationship violations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4 wks</w:t>
            </w:r>
          </w:p>
        </w:tc>
        <w:tc>
          <w:tcPr>
            <w:tcW w:type="dxa" w:w="15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color w:val="27AE60"/>
                <w:sz w:val="18"/>
                <w:szCs w:val="18"/>
              </w:rPr>
              <w:t xml:space="preserve">5-20x</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0D0D"/>
                <w:sz w:val="18"/>
                <w:szCs w:val="18"/>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0D0D"/>
                <w:sz w:val="18"/>
                <w:szCs w:val="18"/>
              </w:rPr>
              <w:t xml:space="preserve">Behavioral Equivalence Chains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0D0D"/>
                <w:sz w:val="18"/>
                <w:szCs w:val="18"/>
              </w:rPr>
              <w:t xml:space="preserve">One confirmed bug becomes N systemic findings automatically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0D0D"/>
                <w:sz w:val="18"/>
                <w:szCs w:val="18"/>
              </w:rPr>
              <w:t xml:space="preserve">2 wks</w:t>
            </w:r>
          </w:p>
        </w:tc>
        <w:tc>
          <w:tcPr>
            <w:tcW w:type="dxa" w:w="1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AE60"/>
                <w:sz w:val="18"/>
                <w:szCs w:val="18"/>
              </w:rPr>
              <w:t xml:space="preserve">5-15x</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Trust Boundary Inference Engine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Client-trusted parameters, internal header forwarding, hidden fields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18"/>
                <w:szCs w:val="18"/>
              </w:rPr>
              <w:t xml:space="preserve">3 wks</w:t>
            </w:r>
          </w:p>
        </w:tc>
        <w:tc>
          <w:tcPr>
            <w:tcW w:type="dxa" w:w="15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color w:val="27AE60"/>
                <w:sz w:val="18"/>
                <w:szCs w:val="18"/>
              </w:rPr>
              <w:t xml:space="preserve">3-10x</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0D0D"/>
                <w:sz w:val="18"/>
                <w:szCs w:val="18"/>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0D0D"/>
                <w:sz w:val="18"/>
                <w:szCs w:val="18"/>
              </w:rPr>
              <w:t xml:space="preserve">Exploit Replay Mutation Engine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0D0D"/>
                <w:sz w:val="18"/>
                <w:szCs w:val="18"/>
              </w:rPr>
              <w:t xml:space="preserve">Every confirmed bug is expanded to its maximum impact surface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D0D0D"/>
                <w:sz w:val="18"/>
                <w:szCs w:val="18"/>
              </w:rPr>
              <w:t xml:space="preserve">2 wks</w:t>
            </w:r>
          </w:p>
        </w:tc>
        <w:tc>
          <w:tcPr>
            <w:tcW w:type="dxa" w:w="1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AE60"/>
                <w:sz w:val="18"/>
                <w:szCs w:val="18"/>
              </w:rPr>
              <w:t xml:space="preserve">3-8x</w:t>
            </w:r>
          </w:p>
        </w:tc>
      </w:tr>
    </w:tbl>
    <w:p>
      <w:pPr>
        <w:spacing w:before="480" w:after="0"/>
      </w:pPr>
      <w:r>
        <w:t xml:space="preserve"/>
      </w:r>
    </w:p>
    <w:p>
      <w:r>
        <w:br w:type="page"/>
      </w:r>
    </w:p>
    <w:p>
      <w:pPr>
        <w:shd w:fill="E94560" w:val="clear"/>
        <w:spacing w:before="480" w:after="0"/>
        <w:ind w:left="0"/>
      </w:pPr>
      <w:r>
        <w:rPr>
          <w:rFonts w:ascii="Arial" w:cs="Arial" w:eastAsia="Arial" w:hAnsi="Arial"/>
          <w:b/>
          <w:bCs/>
          <w:color w:val="FFFFFF"/>
          <w:sz w:val="28"/>
          <w:szCs w:val="28"/>
        </w:rPr>
        <w:t xml:space="preserve">  #1  </w:t>
      </w:r>
      <w:r>
        <w:rPr>
          <w:rFonts w:ascii="Arial" w:cs="Arial" w:eastAsia="Arial" w:hAnsi="Arial"/>
          <w:b/>
          <w:bCs/>
          <w:color w:val="FFFFFF"/>
          <w:sz w:val="28"/>
          <w:szCs w:val="28"/>
        </w:rPr>
        <w:t xml:space="preserve">  Temporal State Attack Sequencer</w:t>
      </w:r>
    </w:p>
    <w:p>
      <w:pPr>
        <w:shd w:fill="1A1A2E" w:val="clear"/>
        <w:spacing w:before="0" w:after="240"/>
      </w:pPr>
      <w:r>
        <w:rPr>
          <w:rFonts w:ascii="Arial" w:cs="Arial" w:eastAsia="Arial" w:hAnsi="Arial"/>
          <w:i/>
          <w:iCs/>
          <w:color w:val="FFFFFF"/>
          <w:sz w:val="20"/>
          <w:szCs w:val="20"/>
        </w:rPr>
        <w:t xml:space="preserve">  Automated Race Condition, TOCTOU, and Double-Spend Detection</w:t>
      </w:r>
    </w:p>
    <w:p>
      <w:pPr>
        <w:pBdr>
          <w:left w:val="single" w:color="E94560" w:sz="12" w:space="8"/>
        </w:pBdr>
        <w:spacing w:before="120" w:after="120"/>
        <w:ind w:left="360"/>
      </w:pPr>
      <w:r>
        <w:rPr>
          <w:rFonts w:ascii="Arial" w:cs="Arial" w:eastAsia="Arial" w:hAnsi="Arial"/>
          <w:b/>
          <w:bCs/>
          <w:color w:val="E94560"/>
          <w:sz w:val="20"/>
          <w:szCs w:val="20"/>
        </w:rPr>
        <w:t xml:space="preserve">WHY IT MATTERS:  </w:t>
      </w:r>
      <w:r>
        <w:rPr>
          <w:rFonts w:ascii="Arial" w:cs="Arial" w:eastAsia="Arial" w:hAnsi="Arial"/>
          <w:color w:val="0D0D0D"/>
          <w:sz w:val="20"/>
          <w:szCs w:val="20"/>
        </w:rPr>
        <w:t xml:space="preserve">Every other scanner is stateless. It fires a request and reads a response. It fundamentally cannot conceive of time as an attack surface. This feature does.</w:t>
      </w:r>
    </w:p>
    <w:p>
      <w:pPr>
        <w:spacing w:before="120" w:after="0"/>
      </w:pPr>
      <w:r>
        <w:t xml:space="preserve"/>
      </w:r>
    </w:p>
    <w:p>
      <w:pPr>
        <w:pStyle w:val="Heading3"/>
        <w:spacing w:before="240" w:after="80"/>
      </w:pPr>
      <w:r>
        <w:rPr>
          <w:rFonts w:ascii="Arial" w:cs="Arial" w:eastAsia="Arial" w:hAnsi="Arial"/>
          <w:b/>
          <w:bCs/>
          <w:color w:val="1A1A2E"/>
          <w:sz w:val="24"/>
          <w:szCs w:val="24"/>
        </w:rPr>
        <w:t xml:space="preserve">The Problem</w:t>
      </w:r>
    </w:p>
    <w:p>
      <w:pPr>
        <w:pStyle w:val="ListParagraph"/>
        <w:numPr>
          <w:ilvl w:val="0"/>
          <w:numId w:val="2"/>
        </w:numPr>
        <w:spacing w:before="60" w:after="60"/>
      </w:pPr>
      <w:r>
        <w:rPr>
          <w:rFonts w:ascii="Arial" w:cs="Arial" w:eastAsia="Arial" w:hAnsi="Arial"/>
          <w:b w:val="false"/>
          <w:bCs w:val="false"/>
          <w:color w:val="0D0D0D"/>
          <w:sz w:val="20"/>
          <w:szCs w:val="20"/>
        </w:rPr>
        <w:t xml:space="preserve">Race conditions are among the highest-paying bugs in fintech, gaming, and e-commerce programs — $10,000 to $50,000 payouts are common.</w:t>
      </w:r>
    </w:p>
    <w:p>
      <w:pPr>
        <w:pStyle w:val="ListParagraph"/>
        <w:numPr>
          <w:ilvl w:val="0"/>
          <w:numId w:val="2"/>
        </w:numPr>
        <w:spacing w:before="60" w:after="60"/>
      </w:pPr>
      <w:r>
        <w:rPr>
          <w:rFonts w:ascii="Arial" w:cs="Arial" w:eastAsia="Arial" w:hAnsi="Arial"/>
          <w:b w:val="false"/>
          <w:bCs w:val="false"/>
          <w:color w:val="0D0D0D"/>
          <w:sz w:val="20"/>
          <w:szCs w:val="20"/>
        </w:rPr>
        <w:t xml:space="preserve">Right now, hunters find them manually by accident. No tool detects them systematically because every tool is stateless by design.</w:t>
      </w:r>
    </w:p>
    <w:p>
      <w:pPr>
        <w:pStyle w:val="ListParagraph"/>
        <w:numPr>
          <w:ilvl w:val="0"/>
          <w:numId w:val="2"/>
        </w:numPr>
        <w:spacing w:before="60" w:after="60"/>
      </w:pPr>
      <w:r>
        <w:rPr>
          <w:rFonts w:ascii="Arial" w:cs="Arial" w:eastAsia="Arial" w:hAnsi="Arial"/>
          <w:b w:val="false"/>
          <w:bCs w:val="false"/>
          <w:color w:val="0D0D0D"/>
          <w:sz w:val="20"/>
          <w:szCs w:val="20"/>
        </w:rPr>
        <w:t xml:space="preserve">You fire one request. You get one response. You move on. You miss the $30,000 bug that was sitting right there.</w:t>
      </w:r>
    </w:p>
    <w:p>
      <w:pPr>
        <w:spacing w:before="80" w:after="0"/>
      </w:pPr>
      <w:r>
        <w:t xml:space="preserve"/>
      </w:r>
    </w:p>
    <w:p>
      <w:pPr>
        <w:pStyle w:val="Heading3"/>
        <w:spacing w:before="240" w:after="80"/>
      </w:pPr>
      <w:r>
        <w:rPr>
          <w:rFonts w:ascii="Arial" w:cs="Arial" w:eastAsia="Arial" w:hAnsi="Arial"/>
          <w:b/>
          <w:bCs/>
          <w:color w:val="1A1A2E"/>
          <w:sz w:val="24"/>
          <w:szCs w:val="24"/>
        </w:rPr>
        <w:t xml:space="preserve">What SentinelForge Does Instead</w:t>
      </w:r>
    </w:p>
    <w:p>
      <w:pPr>
        <w:spacing w:before="80" w:after="80"/>
        <w:ind w:left="360"/>
      </w:pPr>
      <w:r>
        <w:rPr>
          <w:rFonts w:ascii="Arial" w:cs="Arial" w:eastAsia="Arial" w:hAnsi="Arial"/>
          <w:b/>
          <w:bCs/>
          <w:color w:val="E94560"/>
          <w:sz w:val="20"/>
          <w:szCs w:val="20"/>
        </w:rPr>
        <w:t xml:space="preserve">1.  </w:t>
      </w:r>
      <w:r>
        <w:rPr>
          <w:rFonts w:ascii="Arial" w:cs="Arial" w:eastAsia="Arial" w:hAnsi="Arial"/>
          <w:b/>
          <w:bCs/>
          <w:color w:val="1A1A2E"/>
          <w:sz w:val="20"/>
          <w:szCs w:val="20"/>
        </w:rPr>
        <w:t xml:space="preserve">Model endpoints as state machines</w:t>
      </w:r>
      <w:r>
        <w:rPr>
          <w:rFonts w:ascii="Arial" w:cs="Arial" w:eastAsia="Arial" w:hAnsi="Arial"/>
          <w:color w:val="0D0D0D"/>
          <w:sz w:val="20"/>
          <w:szCs w:val="20"/>
        </w:rPr>
        <w:t xml:space="preserve">  —  identify the check-then-act pattern (balance check → deduction, permission check → write)</w:t>
      </w:r>
    </w:p>
    <w:p>
      <w:pPr>
        <w:spacing w:before="80" w:after="80"/>
        <w:ind w:left="360"/>
      </w:pPr>
      <w:r>
        <w:rPr>
          <w:rFonts w:ascii="Arial" w:cs="Arial" w:eastAsia="Arial" w:hAnsi="Arial"/>
          <w:b/>
          <w:bCs/>
          <w:color w:val="E94560"/>
          <w:sz w:val="20"/>
          <w:szCs w:val="20"/>
        </w:rPr>
        <w:t xml:space="preserve">2.  </w:t>
      </w:r>
      <w:r>
        <w:rPr>
          <w:rFonts w:ascii="Arial" w:cs="Arial" w:eastAsia="Arial" w:hAnsi="Arial"/>
          <w:b/>
          <w:bCs/>
          <w:color w:val="1A1A2E"/>
          <w:sz w:val="20"/>
          <w:szCs w:val="20"/>
        </w:rPr>
        <w:t xml:space="preserve">Identify the race window</w:t>
      </w:r>
      <w:r>
        <w:rPr>
          <w:rFonts w:ascii="Arial" w:cs="Arial" w:eastAsia="Arial" w:hAnsi="Arial"/>
          <w:color w:val="0D0D0D"/>
          <w:sz w:val="20"/>
          <w:szCs w:val="20"/>
        </w:rPr>
        <w:t xml:space="preserve">  —  determine the microsecond gap between the check and the act</w:t>
      </w:r>
    </w:p>
    <w:p>
      <w:pPr>
        <w:spacing w:before="80" w:after="80"/>
        <w:ind w:left="360"/>
      </w:pPr>
      <w:r>
        <w:rPr>
          <w:rFonts w:ascii="Arial" w:cs="Arial" w:eastAsia="Arial" w:hAnsi="Arial"/>
          <w:b/>
          <w:bCs/>
          <w:color w:val="E94560"/>
          <w:sz w:val="20"/>
          <w:szCs w:val="20"/>
        </w:rPr>
        <w:t xml:space="preserve">3.  </w:t>
      </w:r>
      <w:r>
        <w:rPr>
          <w:rFonts w:ascii="Arial" w:cs="Arial" w:eastAsia="Arial" w:hAnsi="Arial"/>
          <w:b/>
          <w:bCs/>
          <w:color w:val="1A1A2E"/>
          <w:sz w:val="20"/>
          <w:szCs w:val="20"/>
        </w:rPr>
        <w:t xml:space="preserve">Fire N concurrent coroutines</w:t>
      </w:r>
      <w:r>
        <w:rPr>
          <w:rFonts w:ascii="Arial" w:cs="Arial" w:eastAsia="Arial" w:hAnsi="Arial"/>
          <w:color w:val="0D0D0D"/>
          <w:sz w:val="20"/>
          <w:szCs w:val="20"/>
        </w:rPr>
        <w:t xml:space="preserve">  —  50 identical requests within a 2ms window using asyncio task scheduling</w:t>
      </w:r>
    </w:p>
    <w:p>
      <w:pPr>
        <w:spacing w:before="80" w:after="80"/>
        <w:ind w:left="360"/>
      </w:pPr>
      <w:r>
        <w:rPr>
          <w:rFonts w:ascii="Arial" w:cs="Arial" w:eastAsia="Arial" w:hAnsi="Arial"/>
          <w:b/>
          <w:bCs/>
          <w:color w:val="E94560"/>
          <w:sz w:val="20"/>
          <w:szCs w:val="20"/>
        </w:rPr>
        <w:t xml:space="preserve">4.  </w:t>
      </w:r>
      <w:r>
        <w:rPr>
          <w:rFonts w:ascii="Arial" w:cs="Arial" w:eastAsia="Arial" w:hAnsi="Arial"/>
          <w:b/>
          <w:bCs/>
          <w:color w:val="1A1A2E"/>
          <w:sz w:val="20"/>
          <w:szCs w:val="20"/>
        </w:rPr>
        <w:t xml:space="preserve">Analyze divergent responses</w:t>
      </w:r>
      <w:r>
        <w:rPr>
          <w:rFonts w:ascii="Arial" w:cs="Arial" w:eastAsia="Arial" w:hAnsi="Arial"/>
          <w:color w:val="0D0D0D"/>
          <w:sz w:val="20"/>
          <w:szCs w:val="20"/>
        </w:rPr>
        <w:t xml:space="preserve">  —  two 200 OKs where only one should succeed = confirmed race</w:t>
      </w:r>
    </w:p>
    <w:p>
      <w:pPr>
        <w:spacing w:before="80" w:after="80"/>
        <w:ind w:left="360"/>
      </w:pPr>
      <w:r>
        <w:rPr>
          <w:rFonts w:ascii="Arial" w:cs="Arial" w:eastAsia="Arial" w:hAnsi="Arial"/>
          <w:b/>
          <w:bCs/>
          <w:color w:val="E94560"/>
          <w:sz w:val="20"/>
          <w:szCs w:val="20"/>
        </w:rPr>
        <w:t xml:space="preserve">5.  </w:t>
      </w:r>
      <w:r>
        <w:rPr>
          <w:rFonts w:ascii="Arial" w:cs="Arial" w:eastAsia="Arial" w:hAnsi="Arial"/>
          <w:b/>
          <w:bCs/>
          <w:color w:val="1A1A2E"/>
          <w:sz w:val="20"/>
          <w:szCs w:val="20"/>
        </w:rPr>
        <w:t xml:space="preserve">Generate statistical proof</w:t>
      </w:r>
      <w:r>
        <w:rPr>
          <w:rFonts w:ascii="Arial" w:cs="Arial" w:eastAsia="Arial" w:hAnsi="Arial"/>
          <w:color w:val="0D0D0D"/>
          <w:sz w:val="20"/>
          <w:szCs w:val="20"/>
        </w:rPr>
        <w:t xml:space="preserve">  —  run 5 iterations, report success rate, include all request timestamps</w:t>
      </w:r>
    </w:p>
    <w:p>
      <w:pPr>
        <w:spacing w:before="80" w:after="0"/>
      </w:pPr>
      <w:r>
        <w:t xml:space="preserve"/>
      </w:r>
    </w:p>
    <w:p>
      <w:pPr>
        <w:pStyle w:val="Heading3"/>
        <w:spacing w:before="240" w:after="80"/>
      </w:pPr>
      <w:r>
        <w:rPr>
          <w:rFonts w:ascii="Arial" w:cs="Arial" w:eastAsia="Arial" w:hAnsi="Arial"/>
          <w:b/>
          <w:bCs/>
          <w:color w:val="1A1A2E"/>
          <w:sz w:val="24"/>
          <w:szCs w:val="24"/>
        </w:rPr>
        <w:t xml:space="preserve">What You Can Find Automatically</w:t>
      </w:r>
    </w:p>
    <w:p>
      <w:pPr>
        <w:pStyle w:val="ListParagraph"/>
        <w:numPr>
          <w:ilvl w:val="0"/>
          <w:numId w:val="2"/>
        </w:numPr>
        <w:spacing w:before="60" w:after="60"/>
      </w:pPr>
      <w:r>
        <w:rPr>
          <w:rFonts w:ascii="Arial" w:cs="Arial" w:eastAsia="Arial" w:hAnsi="Arial"/>
          <w:b w:val="false"/>
          <w:bCs w:val="false"/>
          <w:color w:val="0D0D0D"/>
          <w:sz w:val="20"/>
          <w:szCs w:val="20"/>
        </w:rPr>
        <w:t xml:space="preserve">Wallet double-spend: send $100 to two accounts simultaneously from a $100 balance</w:t>
      </w:r>
    </w:p>
    <w:p>
      <w:pPr>
        <w:pStyle w:val="ListParagraph"/>
        <w:numPr>
          <w:ilvl w:val="0"/>
          <w:numId w:val="2"/>
        </w:numPr>
        <w:spacing w:before="60" w:after="60"/>
      </w:pPr>
      <w:r>
        <w:rPr>
          <w:rFonts w:ascii="Arial" w:cs="Arial" w:eastAsia="Arial" w:hAnsi="Arial"/>
          <w:b w:val="false"/>
          <w:bCs w:val="false"/>
          <w:color w:val="0D0D0D"/>
          <w:sz w:val="20"/>
          <w:szCs w:val="20"/>
        </w:rPr>
        <w:t xml:space="preserve">Coupon/promo code reuse: redeem the same code in parallel before the deduplication check fires</w:t>
      </w:r>
    </w:p>
    <w:p>
      <w:pPr>
        <w:pStyle w:val="ListParagraph"/>
        <w:numPr>
          <w:ilvl w:val="0"/>
          <w:numId w:val="2"/>
        </w:numPr>
        <w:spacing w:before="60" w:after="60"/>
      </w:pPr>
      <w:r>
        <w:rPr>
          <w:rFonts w:ascii="Arial" w:cs="Arial" w:eastAsia="Arial" w:hAnsi="Arial"/>
          <w:b w:val="false"/>
          <w:bCs w:val="false"/>
          <w:color w:val="0D0D0D"/>
          <w:sz w:val="20"/>
          <w:szCs w:val="20"/>
        </w:rPr>
        <w:t xml:space="preserve">Parallel account creation: bypass uniqueness constraints on email/username</w:t>
      </w:r>
    </w:p>
    <w:p>
      <w:pPr>
        <w:pStyle w:val="ListParagraph"/>
        <w:numPr>
          <w:ilvl w:val="0"/>
          <w:numId w:val="2"/>
        </w:numPr>
        <w:spacing w:before="60" w:after="60"/>
      </w:pPr>
      <w:r>
        <w:rPr>
          <w:rFonts w:ascii="Arial" w:cs="Arial" w:eastAsia="Arial" w:hAnsi="Arial"/>
          <w:b w:val="false"/>
          <w:bCs w:val="false"/>
          <w:color w:val="0D0D0D"/>
          <w:sz w:val="20"/>
          <w:szCs w:val="20"/>
        </w:rPr>
        <w:t xml:space="preserve">Inventory overselling: purchase more stock than available via concurrent checkout requests</w:t>
      </w:r>
    </w:p>
    <w:p>
      <w:pPr>
        <w:pStyle w:val="ListParagraph"/>
        <w:numPr>
          <w:ilvl w:val="0"/>
          <w:numId w:val="2"/>
        </w:numPr>
        <w:spacing w:before="60" w:after="60"/>
      </w:pPr>
      <w:r>
        <w:rPr>
          <w:rFonts w:ascii="Arial" w:cs="Arial" w:eastAsia="Arial" w:hAnsi="Arial"/>
          <w:b w:val="false"/>
          <w:bCs w:val="false"/>
          <w:color w:val="0D0D0D"/>
          <w:sz w:val="20"/>
          <w:szCs w:val="20"/>
        </w:rPr>
        <w:t xml:space="preserve">File permission TOCTOU: permission is checked, then revoked, but the write still completes</w:t>
      </w:r>
    </w:p>
    <w:p>
      <w:pPr>
        <w:spacing w:before="80" w:after="0"/>
      </w:pPr>
      <w:r>
        <w:t xml:space="preserve"/>
      </w:r>
    </w:p>
    <w:p>
      <w:pPr>
        <w:pStyle w:val="Heading3"/>
        <w:spacing w:before="240" w:after="80"/>
      </w:pPr>
      <w:r>
        <w:rPr>
          <w:rFonts w:ascii="Arial" w:cs="Arial" w:eastAsia="Arial" w:hAnsi="Arial"/>
          <w:b/>
          <w:bCs/>
          <w:color w:val="1A1A2E"/>
          <w:sz w:val="24"/>
          <w:szCs w:val="24"/>
        </w:rPr>
        <w:t xml:space="preserve">The Evidence Bundle Output</w:t>
      </w:r>
    </w:p>
    <w:p>
      <w:pPr>
        <w:pStyle w:val="ListParagraph"/>
        <w:numPr>
          <w:ilvl w:val="0"/>
          <w:numId w:val="2"/>
        </w:numPr>
        <w:spacing w:before="60" w:after="60"/>
      </w:pPr>
      <w:r>
        <w:rPr>
          <w:rFonts w:ascii="Arial" w:cs="Arial" w:eastAsia="Arial" w:hAnsi="Arial"/>
          <w:b w:val="false"/>
          <w:bCs w:val="false"/>
          <w:color w:val="0D0D0D"/>
          <w:sz w:val="20"/>
          <w:szCs w:val="20"/>
        </w:rPr>
        <w:t xml:space="preserve">Exact 50 request timestamps proving the sub-2ms concurrency window</w:t>
      </w:r>
    </w:p>
    <w:p>
      <w:pPr>
        <w:pStyle w:val="ListParagraph"/>
        <w:numPr>
          <w:ilvl w:val="0"/>
          <w:numId w:val="2"/>
        </w:numPr>
        <w:spacing w:before="60" w:after="60"/>
      </w:pPr>
      <w:r>
        <w:rPr>
          <w:rFonts w:ascii="Arial" w:cs="Arial" w:eastAsia="Arial" w:hAnsi="Arial"/>
          <w:b w:val="false"/>
          <w:bCs w:val="false"/>
          <w:color w:val="0D0D0D"/>
          <w:sz w:val="20"/>
          <w:szCs w:val="20"/>
        </w:rPr>
        <w:t xml:space="preserve">All HTTP 200 responses proving every concurrent request succeeded</w:t>
      </w:r>
    </w:p>
    <w:p>
      <w:pPr>
        <w:pStyle w:val="ListParagraph"/>
        <w:numPr>
          <w:ilvl w:val="0"/>
          <w:numId w:val="2"/>
        </w:numPr>
        <w:spacing w:before="60" w:after="60"/>
      </w:pPr>
      <w:r>
        <w:rPr>
          <w:rFonts w:ascii="Arial" w:cs="Arial" w:eastAsia="Arial" w:hAnsi="Arial"/>
          <w:b w:val="false"/>
          <w:bCs w:val="false"/>
          <w:color w:val="0D0D0D"/>
          <w:sz w:val="20"/>
          <w:szCs w:val="20"/>
        </w:rPr>
        <w:t xml:space="preserve">Account/resource state before and after proving the impact</w:t>
      </w:r>
    </w:p>
    <w:p>
      <w:pPr>
        <w:pStyle w:val="ListParagraph"/>
        <w:numPr>
          <w:ilvl w:val="0"/>
          <w:numId w:val="2"/>
        </w:numPr>
        <w:spacing w:before="60" w:after="60"/>
      </w:pPr>
      <w:r>
        <w:rPr>
          <w:rFonts w:ascii="Arial" w:cs="Arial" w:eastAsia="Arial" w:hAnsi="Arial"/>
          <w:b w:val="false"/>
          <w:bCs w:val="false"/>
          <w:color w:val="0D0D0D"/>
          <w:sz w:val="20"/>
          <w:szCs w:val="20"/>
        </w:rPr>
        <w:t xml:space="preserve">Statistical confidence score across 5 reproduced iterations</w:t>
      </w:r>
    </w:p>
    <w:p>
      <w:pPr>
        <w:pStyle w:val="ListParagraph"/>
        <w:numPr>
          <w:ilvl w:val="0"/>
          <w:numId w:val="2"/>
        </w:numPr>
        <w:spacing w:before="60" w:after="60"/>
      </w:pPr>
      <w:r>
        <w:rPr>
          <w:rFonts w:ascii="Arial" w:cs="Arial" w:eastAsia="Arial" w:hAnsi="Arial"/>
          <w:b w:val="false"/>
          <w:bCs w:val="false"/>
          <w:color w:val="0D0D0D"/>
          <w:sz w:val="20"/>
          <w:szCs w:val="20"/>
        </w:rPr>
        <w:t xml:space="preserve">Auto-generated CVSSv3 score and bounty submission draft</w:t>
      </w:r>
    </w:p>
    <w:p>
      <w:pPr>
        <w:spacing w:before="80" w:after="0"/>
      </w:pPr>
      <w:r>
        <w:t xml:space="preserve"/>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W w:type="dxa" w:w="308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Without Sentinel</w:t>
            </w:r>
          </w:p>
        </w:tc>
        <w:tc>
          <w:tcPr>
            <w:tcW w:type="dxa" w:w="308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With Sentinel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D0D0D"/>
                <w:sz w:val="18"/>
                <w:szCs w:val="18"/>
              </w:rPr>
              <w:t xml:space="preserve">Fintech 'Send Money' endpoint</w:t>
            </w:r>
          </w:p>
        </w:tc>
        <w:tc>
          <w:tcPr>
            <w:tcW w:type="dxa" w:w="3080"/>
            <w:tcBorders>
              <w:top w:val="single" w:color="CCCCCC" w:sz="1"/>
              <w:left w:val="single" w:color="CCCCCC" w:sz="1"/>
              <w:bottom w:val="single" w:color="CCCCCC" w:sz="1"/>
              <w:right w:val="single" w:color="CCCCCC" w:sz="1"/>
            </w:tcBorders>
            <w:shd w:fill="FDF2F2" w:val="clear"/>
            <w:tcMar>
              <w:top w:type="dxa" w:w="80"/>
              <w:left w:type="dxa" w:w="160"/>
              <w:bottom w:type="dxa" w:w="80"/>
              <w:right w:type="dxa" w:w="160"/>
            </w:tcMar>
          </w:tcPr>
          <w:p>
            <w:r>
              <w:rPr>
                <w:rFonts w:ascii="Arial" w:cs="Arial" w:eastAsia="Arial" w:hAnsi="Arial"/>
                <w:color w:val="0D0D0D"/>
                <w:sz w:val="18"/>
                <w:szCs w:val="18"/>
              </w:rPr>
              <w:t xml:space="preserve">$0 — looks like it works fine</w:t>
            </w:r>
          </w:p>
        </w:tc>
        <w:tc>
          <w:tcPr>
            <w:tcW w:type="dxa" w:w="30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0D0D0D"/>
                <w:sz w:val="18"/>
                <w:szCs w:val="18"/>
              </w:rPr>
              <w:t xml:space="preserve">$15,000–$50,000 confirmed double-spend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D0D0D"/>
                <w:sz w:val="18"/>
                <w:szCs w:val="18"/>
              </w:rPr>
              <w:t xml:space="preserve">E-commerce coupon code</w:t>
            </w:r>
          </w:p>
        </w:tc>
        <w:tc>
          <w:tcPr>
            <w:tcW w:type="dxa" w:w="3080"/>
            <w:tcBorders>
              <w:top w:val="single" w:color="CCCCCC" w:sz="1"/>
              <w:left w:val="single" w:color="CCCCCC" w:sz="1"/>
              <w:bottom w:val="single" w:color="CCCCCC" w:sz="1"/>
              <w:right w:val="single" w:color="CCCCCC" w:sz="1"/>
            </w:tcBorders>
            <w:shd w:fill="FEF9F9" w:val="clear"/>
            <w:tcMar>
              <w:top w:type="dxa" w:w="80"/>
              <w:left w:type="dxa" w:w="160"/>
              <w:bottom w:type="dxa" w:w="80"/>
              <w:right w:type="dxa" w:w="160"/>
            </w:tcMar>
          </w:tcPr>
          <w:p>
            <w:r>
              <w:rPr>
                <w:rFonts w:ascii="Arial" w:cs="Arial" w:eastAsia="Arial" w:hAnsi="Arial"/>
                <w:color w:val="0D0D0D"/>
                <w:sz w:val="18"/>
                <w:szCs w:val="18"/>
              </w:rPr>
              <w:t xml:space="preserve">$0 — reuse blocked manually</w:t>
            </w:r>
          </w:p>
        </w:tc>
        <w:tc>
          <w:tcPr>
            <w:tcW w:type="dxa" w:w="3080"/>
            <w:tcBorders>
              <w:top w:val="single" w:color="CCCCCC" w:sz="1"/>
              <w:left w:val="single" w:color="CCCCCC" w:sz="1"/>
              <w:bottom w:val="single" w:color="CCCCCC" w:sz="1"/>
              <w:right w:val="single" w:color="CCCCCC" w:sz="1"/>
            </w:tcBorders>
            <w:shd w:fill="F8FFFA" w:val="clear"/>
            <w:tcMar>
              <w:top w:type="dxa" w:w="80"/>
              <w:left w:type="dxa" w:w="160"/>
              <w:bottom w:type="dxa" w:w="80"/>
              <w:right w:type="dxa" w:w="160"/>
            </w:tcMar>
          </w:tcPr>
          <w:p>
            <w:r>
              <w:rPr>
                <w:rFonts w:ascii="Arial" w:cs="Arial" w:eastAsia="Arial" w:hAnsi="Arial"/>
                <w:color w:val="0D0D0D"/>
                <w:sz w:val="18"/>
                <w:szCs w:val="18"/>
              </w:rPr>
              <w:t xml:space="preserve">$5,000 confirmed parallel redemption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D0D0D"/>
                <w:sz w:val="18"/>
                <w:szCs w:val="18"/>
              </w:rPr>
              <w:t xml:space="preserve">SaaS account creation</w:t>
            </w:r>
          </w:p>
        </w:tc>
        <w:tc>
          <w:tcPr>
            <w:tcW w:type="dxa" w:w="3080"/>
            <w:tcBorders>
              <w:top w:val="single" w:color="CCCCCC" w:sz="1"/>
              <w:left w:val="single" w:color="CCCCCC" w:sz="1"/>
              <w:bottom w:val="single" w:color="CCCCCC" w:sz="1"/>
              <w:right w:val="single" w:color="CCCCCC" w:sz="1"/>
            </w:tcBorders>
            <w:shd w:fill="FDF2F2" w:val="clear"/>
            <w:tcMar>
              <w:top w:type="dxa" w:w="80"/>
              <w:left w:type="dxa" w:w="160"/>
              <w:bottom w:type="dxa" w:w="80"/>
              <w:right w:type="dxa" w:w="160"/>
            </w:tcMar>
          </w:tcPr>
          <w:p>
            <w:r>
              <w:rPr>
                <w:rFonts w:ascii="Arial" w:cs="Arial" w:eastAsia="Arial" w:hAnsi="Arial"/>
                <w:color w:val="0D0D0D"/>
                <w:sz w:val="18"/>
                <w:szCs w:val="18"/>
              </w:rPr>
              <w:t xml:space="preserve">$200 duplicate user report</w:t>
            </w:r>
          </w:p>
        </w:tc>
        <w:tc>
          <w:tcPr>
            <w:tcW w:type="dxa" w:w="30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0D0D0D"/>
                <w:sz w:val="18"/>
                <w:szCs w:val="18"/>
              </w:rPr>
              <w:t xml:space="preserve">$8,000 parallel uniqueness bypass with proof</w:t>
            </w:r>
          </w:p>
        </w:tc>
      </w:tr>
    </w:tbl>
    <w:p>
      <w:pPr>
        <w:spacing w:before="480" w:after="0"/>
      </w:pPr>
      <w:r>
        <w:t xml:space="preserve"/>
      </w:r>
    </w:p>
    <w:p>
      <w:r>
        <w:br w:type="page"/>
      </w:r>
    </w:p>
    <w:p>
      <w:pPr>
        <w:shd w:fill="F39C12" w:val="clear"/>
        <w:spacing w:before="480" w:after="0"/>
        <w:ind w:left="0"/>
      </w:pPr>
      <w:r>
        <w:rPr>
          <w:rFonts w:ascii="Arial" w:cs="Arial" w:eastAsia="Arial" w:hAnsi="Arial"/>
          <w:b/>
          <w:bCs/>
          <w:color w:val="FFFFFF"/>
          <w:sz w:val="28"/>
          <w:szCs w:val="28"/>
        </w:rPr>
        <w:t xml:space="preserve">  #2  </w:t>
      </w:r>
      <w:r>
        <w:rPr>
          <w:rFonts w:ascii="Arial" w:cs="Arial" w:eastAsia="Arial" w:hAnsi="Arial"/>
          <w:b/>
          <w:bCs/>
          <w:color w:val="FFFFFF"/>
          <w:sz w:val="28"/>
          <w:szCs w:val="28"/>
        </w:rPr>
        <w:t xml:space="preserve">  Application Semantic Model (ASM)</w:t>
      </w:r>
    </w:p>
    <w:p>
      <w:pPr>
        <w:shd w:fill="1A1A2E" w:val="clear"/>
        <w:spacing w:before="0" w:after="240"/>
      </w:pPr>
      <w:r>
        <w:rPr>
          <w:rFonts w:ascii="Arial" w:cs="Arial" w:eastAsia="Arial" w:hAnsi="Arial"/>
          <w:i/>
          <w:iCs/>
          <w:color w:val="FFFFFF"/>
          <w:sz w:val="20"/>
          <w:szCs w:val="20"/>
        </w:rPr>
        <w:t xml:space="preserve">  The AI Learns What the App Is Supposed to Do — Then Finds Where It Doesn't</w:t>
      </w:r>
    </w:p>
    <w:p>
      <w:pPr>
        <w:pBdr>
          <w:left w:val="single" w:color="F39C12" w:sz="12" w:space="8"/>
        </w:pBdr>
        <w:spacing w:before="120" w:after="120"/>
        <w:ind w:left="360"/>
      </w:pPr>
      <w:r>
        <w:rPr>
          <w:rFonts w:ascii="Arial" w:cs="Arial" w:eastAsia="Arial" w:hAnsi="Arial"/>
          <w:b/>
          <w:bCs/>
          <w:color w:val="F39C12"/>
          <w:sz w:val="20"/>
          <w:szCs w:val="20"/>
        </w:rPr>
        <w:t xml:space="preserve">WHY IT MATTERS:  </w:t>
      </w:r>
      <w:r>
        <w:rPr>
          <w:rFonts w:ascii="Arial" w:cs="Arial" w:eastAsia="Arial" w:hAnsi="Arial"/>
          <w:color w:val="0D0D0D"/>
          <w:sz w:val="20"/>
          <w:szCs w:val="20"/>
        </w:rPr>
        <w:t xml:space="preserve">Payloads are dumb. The best bugs aren't found by fuzzing — they're found by understanding what the application is trying to do and identifying where the implementation betrays the intent.</w:t>
      </w:r>
    </w:p>
    <w:p>
      <w:pPr>
        <w:spacing w:before="120" w:after="0"/>
      </w:pPr>
      <w:r>
        <w:t xml:space="preserve"/>
      </w:r>
    </w:p>
    <w:p>
      <w:pPr>
        <w:pStyle w:val="Heading3"/>
        <w:spacing w:before="240" w:after="80"/>
      </w:pPr>
      <w:r>
        <w:rPr>
          <w:rFonts w:ascii="Arial" w:cs="Arial" w:eastAsia="Arial" w:hAnsi="Arial"/>
          <w:b/>
          <w:bCs/>
          <w:color w:val="1A1A2E"/>
          <w:sz w:val="24"/>
          <w:szCs w:val="24"/>
        </w:rPr>
        <w:t xml:space="preserve">The Problem</w:t>
      </w:r>
    </w:p>
    <w:p>
      <w:pPr>
        <w:pStyle w:val="ListParagraph"/>
        <w:numPr>
          <w:ilvl w:val="0"/>
          <w:numId w:val="2"/>
        </w:numPr>
        <w:spacing w:before="60" w:after="60"/>
      </w:pPr>
      <w:r>
        <w:rPr>
          <w:rFonts w:ascii="Arial" w:cs="Arial" w:eastAsia="Arial" w:hAnsi="Arial"/>
          <w:b w:val="false"/>
          <w:bCs w:val="false"/>
          <w:color w:val="0D0D0D"/>
          <w:sz w:val="20"/>
          <w:szCs w:val="20"/>
        </w:rPr>
        <w:t xml:space="preserve">Payload-based scanners can find injection points. They cannot find business logic flaws.</w:t>
      </w:r>
    </w:p>
    <w:p>
      <w:pPr>
        <w:pStyle w:val="ListParagraph"/>
        <w:numPr>
          <w:ilvl w:val="0"/>
          <w:numId w:val="2"/>
        </w:numPr>
        <w:spacing w:before="60" w:after="60"/>
      </w:pPr>
      <w:r>
        <w:rPr>
          <w:rFonts w:ascii="Arial" w:cs="Arial" w:eastAsia="Arial" w:hAnsi="Arial"/>
          <w:b w:val="false"/>
          <w:bCs w:val="false"/>
          <w:color w:val="0D0D0D"/>
          <w:sz w:val="20"/>
          <w:szCs w:val="20"/>
        </w:rPr>
        <w:t xml:space="preserve">A scanner doesn't know that quantity: -1 on a checkout endpoint should be impossible. It doesn't know that applying a coupon before and after a price change is double-dipping. It doesn't know that transferring money to yourself is a valid attack vector.</w:t>
      </w:r>
    </w:p>
    <w:p>
      <w:pPr>
        <w:pStyle w:val="ListParagraph"/>
        <w:numPr>
          <w:ilvl w:val="0"/>
          <w:numId w:val="2"/>
        </w:numPr>
        <w:spacing w:before="60" w:after="60"/>
      </w:pPr>
      <w:r>
        <w:rPr>
          <w:rFonts w:ascii="Arial" w:cs="Arial" w:eastAsia="Arial" w:hAnsi="Arial"/>
          <w:b w:val="false"/>
          <w:bCs w:val="false"/>
          <w:color w:val="0D0D0D"/>
          <w:sz w:val="20"/>
          <w:szCs w:val="20"/>
        </w:rPr>
        <w:t xml:space="preserve">These bugs require understanding the app's data model and intended behavior — something no scanner has ever attempted to infer.</w:t>
      </w:r>
    </w:p>
    <w:p>
      <w:pPr>
        <w:spacing w:before="80" w:after="0"/>
      </w:pPr>
      <w:r>
        <w:t xml:space="preserve"/>
      </w:r>
    </w:p>
    <w:p>
      <w:pPr>
        <w:pStyle w:val="Heading3"/>
        <w:spacing w:before="240" w:after="80"/>
      </w:pPr>
      <w:r>
        <w:rPr>
          <w:rFonts w:ascii="Arial" w:cs="Arial" w:eastAsia="Arial" w:hAnsi="Arial"/>
          <w:b/>
          <w:bCs/>
          <w:color w:val="1A1A2E"/>
          <w:sz w:val="24"/>
          <w:szCs w:val="24"/>
        </w:rPr>
        <w:t xml:space="preserve">How the Model is Built (No Source Code Needed)</w:t>
      </w:r>
    </w:p>
    <w:p>
      <w:pPr>
        <w:spacing w:before="80" w:after="80"/>
        <w:ind w:left="360"/>
      </w:pPr>
      <w:r>
        <w:rPr>
          <w:rFonts w:ascii="Arial" w:cs="Arial" w:eastAsia="Arial" w:hAnsi="Arial"/>
          <w:b/>
          <w:bCs/>
          <w:color w:val="F39C12"/>
          <w:sz w:val="20"/>
          <w:szCs w:val="20"/>
        </w:rPr>
        <w:t xml:space="preserve">1.  </w:t>
      </w:r>
      <w:r>
        <w:rPr>
          <w:rFonts w:ascii="Arial" w:cs="Arial" w:eastAsia="Arial" w:hAnsi="Arial"/>
          <w:b/>
          <w:bCs/>
          <w:color w:val="1A1A2E"/>
          <w:sz w:val="20"/>
          <w:szCs w:val="20"/>
        </w:rPr>
        <w:t xml:space="preserve">Entity extraction</w:t>
      </w:r>
      <w:r>
        <w:rPr>
          <w:rFonts w:ascii="Arial" w:cs="Arial" w:eastAsia="Arial" w:hAnsi="Arial"/>
          <w:color w:val="0D0D0D"/>
          <w:sz w:val="20"/>
          <w:szCs w:val="20"/>
        </w:rPr>
        <w:t xml:space="preserve">  —  infer object types from endpoint naming: /orders/, /invoices/, /users/, /reports/</w:t>
      </w:r>
    </w:p>
    <w:p>
      <w:pPr>
        <w:spacing w:before="80" w:after="80"/>
        <w:ind w:left="360"/>
      </w:pPr>
      <w:r>
        <w:rPr>
          <w:rFonts w:ascii="Arial" w:cs="Arial" w:eastAsia="Arial" w:hAnsi="Arial"/>
          <w:b/>
          <w:bCs/>
          <w:color w:val="F39C12"/>
          <w:sz w:val="20"/>
          <w:szCs w:val="20"/>
        </w:rPr>
        <w:t xml:space="preserve">2.  </w:t>
      </w:r>
      <w:r>
        <w:rPr>
          <w:rFonts w:ascii="Arial" w:cs="Arial" w:eastAsia="Arial" w:hAnsi="Arial"/>
          <w:b/>
          <w:bCs/>
          <w:color w:val="1A1A2E"/>
          <w:sz w:val="20"/>
          <w:szCs w:val="20"/>
        </w:rPr>
        <w:t xml:space="preserve">Relationship mapping</w:t>
      </w:r>
      <w:r>
        <w:rPr>
          <w:rFonts w:ascii="Arial" w:cs="Arial" w:eastAsia="Arial" w:hAnsi="Arial"/>
          <w:color w:val="0D0D0D"/>
          <w:sz w:val="20"/>
          <w:szCs w:val="20"/>
        </w:rPr>
        <w:t xml:space="preserve">  —  detect ownership from foreign keys in responses (order.userId, invoice.accountId)</w:t>
      </w:r>
    </w:p>
    <w:p>
      <w:pPr>
        <w:spacing w:before="80" w:after="80"/>
        <w:ind w:left="360"/>
      </w:pPr>
      <w:r>
        <w:rPr>
          <w:rFonts w:ascii="Arial" w:cs="Arial" w:eastAsia="Arial" w:hAnsi="Arial"/>
          <w:b/>
          <w:bCs/>
          <w:color w:val="F39C12"/>
          <w:sz w:val="20"/>
          <w:szCs w:val="20"/>
        </w:rPr>
        <w:t xml:space="preserve">3.  </w:t>
      </w:r>
      <w:r>
        <w:rPr>
          <w:rFonts w:ascii="Arial" w:cs="Arial" w:eastAsia="Arial" w:hAnsi="Arial"/>
          <w:b/>
          <w:bCs/>
          <w:color w:val="1A1A2E"/>
          <w:sz w:val="20"/>
          <w:szCs w:val="20"/>
        </w:rPr>
        <w:t xml:space="preserve">Role inference</w:t>
      </w:r>
      <w:r>
        <w:rPr>
          <w:rFonts w:ascii="Arial" w:cs="Arial" w:eastAsia="Arial" w:hAnsi="Arial"/>
          <w:color w:val="0D0D0D"/>
          <w:sz w:val="20"/>
          <w:szCs w:val="20"/>
        </w:rPr>
        <w:t xml:space="preserve">  —  identify privilege levels from access patterns and response delta between users</w:t>
      </w:r>
    </w:p>
    <w:p>
      <w:pPr>
        <w:spacing w:before="80" w:after="80"/>
        <w:ind w:left="360"/>
      </w:pPr>
      <w:r>
        <w:rPr>
          <w:rFonts w:ascii="Arial" w:cs="Arial" w:eastAsia="Arial" w:hAnsi="Arial"/>
          <w:b/>
          <w:bCs/>
          <w:color w:val="F39C12"/>
          <w:sz w:val="20"/>
          <w:szCs w:val="20"/>
        </w:rPr>
        <w:t xml:space="preserve">4.  </w:t>
      </w:r>
      <w:r>
        <w:rPr>
          <w:rFonts w:ascii="Arial" w:cs="Arial" w:eastAsia="Arial" w:hAnsi="Arial"/>
          <w:b/>
          <w:bCs/>
          <w:color w:val="1A1A2E"/>
          <w:sz w:val="20"/>
          <w:szCs w:val="20"/>
        </w:rPr>
        <w:t xml:space="preserve">State machine modeling</w:t>
      </w:r>
      <w:r>
        <w:rPr>
          <w:rFonts w:ascii="Arial" w:cs="Arial" w:eastAsia="Arial" w:hAnsi="Arial"/>
          <w:color w:val="0D0D0D"/>
          <w:sz w:val="20"/>
          <w:szCs w:val="20"/>
        </w:rPr>
        <w:t xml:space="preserve">  —  track valid transitions from response codes and field changes across request sequences</w:t>
      </w:r>
    </w:p>
    <w:p>
      <w:pPr>
        <w:spacing w:before="80" w:after="80"/>
        <w:ind w:left="360"/>
      </w:pPr>
      <w:r>
        <w:rPr>
          <w:rFonts w:ascii="Arial" w:cs="Arial" w:eastAsia="Arial" w:hAnsi="Arial"/>
          <w:b/>
          <w:bCs/>
          <w:color w:val="F39C12"/>
          <w:sz w:val="20"/>
          <w:szCs w:val="20"/>
        </w:rPr>
        <w:t xml:space="preserve">5.  </w:t>
      </w:r>
      <w:r>
        <w:rPr>
          <w:rFonts w:ascii="Arial" w:cs="Arial" w:eastAsia="Arial" w:hAnsi="Arial"/>
          <w:b/>
          <w:bCs/>
          <w:color w:val="1A1A2E"/>
          <w:sz w:val="20"/>
          <w:szCs w:val="20"/>
        </w:rPr>
        <w:t xml:space="preserve">Constraint inference</w:t>
      </w:r>
      <w:r>
        <w:rPr>
          <w:rFonts w:ascii="Arial" w:cs="Arial" w:eastAsia="Arial" w:hAnsi="Arial"/>
          <w:color w:val="0D0D0D"/>
          <w:sz w:val="20"/>
          <w:szCs w:val="20"/>
        </w:rPr>
        <w:t xml:space="preserve">  —  learn valid input ranges by binary-searching 400/422 validation errors</w:t>
      </w:r>
    </w:p>
    <w:p>
      <w:pPr>
        <w:spacing w:before="80" w:after="0"/>
      </w:pPr>
      <w:r>
        <w:t xml:space="preserve"/>
      </w:r>
    </w:p>
    <w:p>
      <w:pPr>
        <w:pStyle w:val="Heading3"/>
        <w:spacing w:before="240" w:after="80"/>
      </w:pPr>
      <w:r>
        <w:rPr>
          <w:rFonts w:ascii="Arial" w:cs="Arial" w:eastAsia="Arial" w:hAnsi="Arial"/>
          <w:b/>
          <w:bCs/>
          <w:color w:val="1A1A2E"/>
          <w:sz w:val="24"/>
          <w:szCs w:val="24"/>
        </w:rPr>
        <w:t xml:space="preserve">What It Can Find That Nothing Else Can</w:t>
      </w:r>
    </w:p>
    <w:p>
      <w:pPr>
        <w:pStyle w:val="ListParagraph"/>
        <w:numPr>
          <w:ilvl w:val="0"/>
          <w:numId w:val="2"/>
        </w:numPr>
        <w:spacing w:before="60" w:after="60"/>
      </w:pPr>
      <w:r>
        <w:rPr>
          <w:rFonts w:ascii="Arial" w:cs="Arial" w:eastAsia="Arial" w:hAnsi="Arial"/>
          <w:b w:val="false"/>
          <w:bCs w:val="false"/>
          <w:color w:val="0D0D0D"/>
          <w:sz w:val="20"/>
          <w:szCs w:val="20"/>
        </w:rPr>
        <w:t xml:space="preserve">Business logic flaws: negative quantities, self-referential transfers, backdated timestamps</w:t>
      </w:r>
    </w:p>
    <w:p>
      <w:pPr>
        <w:pStyle w:val="ListParagraph"/>
        <w:numPr>
          <w:ilvl w:val="0"/>
          <w:numId w:val="2"/>
        </w:numPr>
        <w:spacing w:before="60" w:after="60"/>
      </w:pPr>
      <w:r>
        <w:rPr>
          <w:rFonts w:ascii="Arial" w:cs="Arial" w:eastAsia="Arial" w:hAnsi="Arial"/>
          <w:b w:val="false"/>
          <w:bCs w:val="false"/>
          <w:color w:val="0D0D0D"/>
          <w:sz w:val="20"/>
          <w:szCs w:val="20"/>
        </w:rPr>
        <w:t xml:space="preserve">IDOR on inferred object relationships: found IDOR on orders, automatically test invoices, reports, messages</w:t>
      </w:r>
    </w:p>
    <w:p>
      <w:pPr>
        <w:pStyle w:val="ListParagraph"/>
        <w:numPr>
          <w:ilvl w:val="0"/>
          <w:numId w:val="2"/>
        </w:numPr>
        <w:spacing w:before="60" w:after="60"/>
      </w:pPr>
      <w:r>
        <w:rPr>
          <w:rFonts w:ascii="Arial" w:cs="Arial" w:eastAsia="Arial" w:hAnsi="Arial"/>
          <w:b w:val="false"/>
          <w:bCs w:val="false"/>
          <w:color w:val="0D0D0D"/>
          <w:sz w:val="20"/>
          <w:szCs w:val="20"/>
        </w:rPr>
        <w:t xml:space="preserve">Privilege escalation paths: role A can perform operation X on their objects — can they do it on role B's?</w:t>
      </w:r>
    </w:p>
    <w:p>
      <w:pPr>
        <w:pStyle w:val="ListParagraph"/>
        <w:numPr>
          <w:ilvl w:val="0"/>
          <w:numId w:val="2"/>
        </w:numPr>
        <w:spacing w:before="60" w:after="60"/>
      </w:pPr>
      <w:r>
        <w:rPr>
          <w:rFonts w:ascii="Arial" w:cs="Arial" w:eastAsia="Arial" w:hAnsi="Arial"/>
          <w:b w:val="false"/>
          <w:bCs w:val="false"/>
          <w:color w:val="0D0D0D"/>
          <w:sz w:val="20"/>
          <w:szCs w:val="20"/>
        </w:rPr>
        <w:t xml:space="preserve">State transition violations: can you skip a required step? Approve a pending item without review?</w:t>
      </w:r>
    </w:p>
    <w:p>
      <w:pPr>
        <w:pStyle w:val="ListParagraph"/>
        <w:numPr>
          <w:ilvl w:val="0"/>
          <w:numId w:val="2"/>
        </w:numPr>
        <w:spacing w:before="60" w:after="60"/>
      </w:pPr>
      <w:r>
        <w:rPr>
          <w:rFonts w:ascii="Arial" w:cs="Arial" w:eastAsia="Arial" w:hAnsi="Arial"/>
          <w:b w:val="false"/>
          <w:bCs w:val="false"/>
          <w:color w:val="0D0D0D"/>
          <w:sz w:val="20"/>
          <w:szCs w:val="20"/>
        </w:rPr>
        <w:t xml:space="preserve">Constraint bypass: integer overflow on quantity fields, string truncation on uniqueness checks</w:t>
      </w:r>
    </w:p>
    <w:p>
      <w:pPr>
        <w:spacing w:before="80" w:after="0"/>
      </w:pPr>
      <w:r>
        <w:t xml:space="preserve"/>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W w:type="dxa" w:w="308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Without Sentinel</w:t>
            </w:r>
          </w:p>
        </w:tc>
        <w:tc>
          <w:tcPr>
            <w:tcW w:type="dxa" w:w="308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With Sentinel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D0D0D"/>
                <w:sz w:val="18"/>
                <w:szCs w:val="18"/>
              </w:rPr>
              <w:t xml:space="preserve">E-commerce checkout</w:t>
            </w:r>
          </w:p>
        </w:tc>
        <w:tc>
          <w:tcPr>
            <w:tcW w:type="dxa" w:w="3080"/>
            <w:tcBorders>
              <w:top w:val="single" w:color="CCCCCC" w:sz="1"/>
              <w:left w:val="single" w:color="CCCCCC" w:sz="1"/>
              <w:bottom w:val="single" w:color="CCCCCC" w:sz="1"/>
              <w:right w:val="single" w:color="CCCCCC" w:sz="1"/>
            </w:tcBorders>
            <w:shd w:fill="FDF2F2" w:val="clear"/>
            <w:tcMar>
              <w:top w:type="dxa" w:w="80"/>
              <w:left w:type="dxa" w:w="160"/>
              <w:bottom w:type="dxa" w:w="80"/>
              <w:right w:type="dxa" w:w="160"/>
            </w:tcMar>
          </w:tcPr>
          <w:p>
            <w:r>
              <w:rPr>
                <w:rFonts w:ascii="Arial" w:cs="Arial" w:eastAsia="Arial" w:hAnsi="Arial"/>
                <w:color w:val="0D0D0D"/>
                <w:sz w:val="18"/>
                <w:szCs w:val="18"/>
              </w:rPr>
              <w:t xml:space="preserve">$0 — normal flow looks fine</w:t>
            </w:r>
          </w:p>
        </w:tc>
        <w:tc>
          <w:tcPr>
            <w:tcW w:type="dxa" w:w="30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0D0D0D"/>
                <w:sz w:val="18"/>
                <w:szCs w:val="18"/>
              </w:rPr>
              <w:t xml:space="preserve">$12,000 negative quantity gives store credit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D0D0D"/>
                <w:sz w:val="18"/>
                <w:szCs w:val="18"/>
              </w:rPr>
              <w:t xml:space="preserve">Fintech transfer system</w:t>
            </w:r>
          </w:p>
        </w:tc>
        <w:tc>
          <w:tcPr>
            <w:tcW w:type="dxa" w:w="3080"/>
            <w:tcBorders>
              <w:top w:val="single" w:color="CCCCCC" w:sz="1"/>
              <w:left w:val="single" w:color="CCCCCC" w:sz="1"/>
              <w:bottom w:val="single" w:color="CCCCCC" w:sz="1"/>
              <w:right w:val="single" w:color="CCCCCC" w:sz="1"/>
            </w:tcBorders>
            <w:shd w:fill="FEF9F9" w:val="clear"/>
            <w:tcMar>
              <w:top w:type="dxa" w:w="80"/>
              <w:left w:type="dxa" w:w="160"/>
              <w:bottom w:type="dxa" w:w="80"/>
              <w:right w:type="dxa" w:w="160"/>
            </w:tcMar>
          </w:tcPr>
          <w:p>
            <w:r>
              <w:rPr>
                <w:rFonts w:ascii="Arial" w:cs="Arial" w:eastAsia="Arial" w:hAnsi="Arial"/>
                <w:color w:val="0D0D0D"/>
                <w:sz w:val="18"/>
                <w:szCs w:val="18"/>
              </w:rPr>
              <w:t xml:space="preserve">$500 IDOR on one endpoint</w:t>
            </w:r>
          </w:p>
        </w:tc>
        <w:tc>
          <w:tcPr>
            <w:tcW w:type="dxa" w:w="3080"/>
            <w:tcBorders>
              <w:top w:val="single" w:color="CCCCCC" w:sz="1"/>
              <w:left w:val="single" w:color="CCCCCC" w:sz="1"/>
              <w:bottom w:val="single" w:color="CCCCCC" w:sz="1"/>
              <w:right w:val="single" w:color="CCCCCC" w:sz="1"/>
            </w:tcBorders>
            <w:shd w:fill="F8FFFA" w:val="clear"/>
            <w:tcMar>
              <w:top w:type="dxa" w:w="80"/>
              <w:left w:type="dxa" w:w="160"/>
              <w:bottom w:type="dxa" w:w="80"/>
              <w:right w:type="dxa" w:w="160"/>
            </w:tcMar>
          </w:tcPr>
          <w:p>
            <w:r>
              <w:rPr>
                <w:rFonts w:ascii="Arial" w:cs="Arial" w:eastAsia="Arial" w:hAnsi="Arial"/>
                <w:color w:val="0D0D0D"/>
                <w:sz w:val="18"/>
                <w:szCs w:val="18"/>
              </w:rPr>
              <w:t xml:space="preserve">$20,000 systemic IDOR across all account objects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D0D0D"/>
                <w:sz w:val="18"/>
                <w:szCs w:val="18"/>
              </w:rPr>
              <w:t xml:space="preserve">SaaS role management</w:t>
            </w:r>
          </w:p>
        </w:tc>
        <w:tc>
          <w:tcPr>
            <w:tcW w:type="dxa" w:w="3080"/>
            <w:tcBorders>
              <w:top w:val="single" w:color="CCCCCC" w:sz="1"/>
              <w:left w:val="single" w:color="CCCCCC" w:sz="1"/>
              <w:bottom w:val="single" w:color="CCCCCC" w:sz="1"/>
              <w:right w:val="single" w:color="CCCCCC" w:sz="1"/>
            </w:tcBorders>
            <w:shd w:fill="FDF2F2" w:val="clear"/>
            <w:tcMar>
              <w:top w:type="dxa" w:w="80"/>
              <w:left w:type="dxa" w:w="160"/>
              <w:bottom w:type="dxa" w:w="80"/>
              <w:right w:type="dxa" w:w="160"/>
            </w:tcMar>
          </w:tcPr>
          <w:p>
            <w:r>
              <w:rPr>
                <w:rFonts w:ascii="Arial" w:cs="Arial" w:eastAsia="Arial" w:hAnsi="Arial"/>
                <w:color w:val="0D0D0D"/>
                <w:sz w:val="18"/>
                <w:szCs w:val="18"/>
              </w:rPr>
              <w:t xml:space="preserve">$0 — can't find the right payload</w:t>
            </w:r>
          </w:p>
        </w:tc>
        <w:tc>
          <w:tcPr>
            <w:tcW w:type="dxa" w:w="30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0D0D0D"/>
                <w:sz w:val="18"/>
                <w:szCs w:val="18"/>
              </w:rPr>
              <w:t xml:space="preserve">$15,000 role assignment bypass via state machine violation</w:t>
            </w:r>
          </w:p>
        </w:tc>
      </w:tr>
    </w:tbl>
    <w:p>
      <w:pPr>
        <w:spacing w:before="480" w:after="0"/>
      </w:pPr>
      <w:r>
        <w:t xml:space="preserve"/>
      </w:r>
    </w:p>
    <w:p>
      <w:r>
        <w:br w:type="page"/>
      </w:r>
    </w:p>
    <w:p>
      <w:pPr>
        <w:shd w:fill="8E44AD" w:val="clear"/>
        <w:spacing w:before="480" w:after="0"/>
        <w:ind w:left="0"/>
      </w:pPr>
      <w:r>
        <w:rPr>
          <w:rFonts w:ascii="Arial" w:cs="Arial" w:eastAsia="Arial" w:hAnsi="Arial"/>
          <w:b/>
          <w:bCs/>
          <w:color w:val="FFFFFF"/>
          <w:sz w:val="28"/>
          <w:szCs w:val="28"/>
        </w:rPr>
        <w:t xml:space="preserve">  #3  </w:t>
      </w:r>
      <w:r>
        <w:rPr>
          <w:rFonts w:ascii="Arial" w:cs="Arial" w:eastAsia="Arial" w:hAnsi="Arial"/>
          <w:b/>
          <w:bCs/>
          <w:color w:val="FFFFFF"/>
          <w:sz w:val="28"/>
          <w:szCs w:val="28"/>
        </w:rPr>
        <w:t xml:space="preserve">  Behavioral Equivalence Chains</w:t>
      </w:r>
    </w:p>
    <w:p>
      <w:pPr>
        <w:shd w:fill="1A1A2E" w:val="clear"/>
        <w:spacing w:before="0" w:after="240"/>
      </w:pPr>
      <w:r>
        <w:rPr>
          <w:rFonts w:ascii="Arial" w:cs="Arial" w:eastAsia="Arial" w:hAnsi="Arial"/>
          <w:i/>
          <w:iCs/>
          <w:color w:val="FFFFFF"/>
          <w:sz w:val="20"/>
          <w:szCs w:val="20"/>
        </w:rPr>
        <w:t xml:space="preserve">  One Confirmed Bug Automatically Becomes N Systemic Findings</w:t>
      </w:r>
    </w:p>
    <w:p>
      <w:pPr>
        <w:pBdr>
          <w:left w:val="single" w:color="8E44AD" w:sz="12" w:space="8"/>
        </w:pBdr>
        <w:spacing w:before="120" w:after="120"/>
        <w:ind w:left="360"/>
      </w:pPr>
      <w:r>
        <w:rPr>
          <w:rFonts w:ascii="Arial" w:cs="Arial" w:eastAsia="Arial" w:hAnsi="Arial"/>
          <w:b/>
          <w:bCs/>
          <w:color w:val="8E44AD"/>
          <w:sz w:val="20"/>
          <w:szCs w:val="20"/>
        </w:rPr>
        <w:t xml:space="preserve">WHY IT MATTERS:  </w:t>
      </w:r>
      <w:r>
        <w:rPr>
          <w:rFonts w:ascii="Arial" w:cs="Arial" w:eastAsia="Arial" w:hAnsi="Arial"/>
          <w:color w:val="0D0D0D"/>
          <w:sz w:val="20"/>
          <w:szCs w:val="20"/>
        </w:rPr>
        <w:t xml:space="preserve">The single most common failure mode in bug bounty hunting: you find one IDOR, manually check two more endpoints, miss ten others, and submit a P3. This feature makes that impossible.</w:t>
      </w:r>
    </w:p>
    <w:p>
      <w:pPr>
        <w:spacing w:before="120" w:after="0"/>
      </w:pPr>
      <w:r>
        <w:t xml:space="preserve"/>
      </w:r>
    </w:p>
    <w:p>
      <w:pPr>
        <w:pStyle w:val="Heading3"/>
        <w:spacing w:before="240" w:after="80"/>
      </w:pPr>
      <w:r>
        <w:rPr>
          <w:rFonts w:ascii="Arial" w:cs="Arial" w:eastAsia="Arial" w:hAnsi="Arial"/>
          <w:b/>
          <w:bCs/>
          <w:color w:val="1A1A2E"/>
          <w:sz w:val="24"/>
          <w:szCs w:val="24"/>
        </w:rPr>
        <w:t xml:space="preserve">The Problem Every Hunter Has</w:t>
      </w:r>
    </w:p>
    <w:p>
      <w:pPr>
        <w:pStyle w:val="ListParagraph"/>
        <w:numPr>
          <w:ilvl w:val="0"/>
          <w:numId w:val="2"/>
        </w:numPr>
        <w:spacing w:before="60" w:after="60"/>
      </w:pPr>
      <w:r>
        <w:rPr>
          <w:rFonts w:ascii="Arial" w:cs="Arial" w:eastAsia="Arial" w:hAnsi="Arial"/>
          <w:b w:val="false"/>
          <w:bCs w:val="false"/>
          <w:color w:val="0D0D0D"/>
          <w:sz w:val="20"/>
          <w:szCs w:val="20"/>
        </w:rPr>
        <w:t xml:space="preserve">You find an IDOR on /api/v1/orders/{id}. You manually check /api/v1/invoices/{id}. Maybe /api/v1/reports/{id}.</w:t>
      </w:r>
    </w:p>
    <w:p>
      <w:pPr>
        <w:pStyle w:val="ListParagraph"/>
        <w:numPr>
          <w:ilvl w:val="0"/>
          <w:numId w:val="2"/>
        </w:numPr>
        <w:spacing w:before="60" w:after="60"/>
      </w:pPr>
      <w:r>
        <w:rPr>
          <w:rFonts w:ascii="Arial" w:cs="Arial" w:eastAsia="Arial" w:hAnsi="Arial"/>
          <w:b w:val="false"/>
          <w:bCs w:val="false"/>
          <w:color w:val="0D0D0D"/>
          <w:sz w:val="20"/>
          <w:szCs w:val="20"/>
        </w:rPr>
        <w:t xml:space="preserve">You miss /api/v2/orders/{id}. You miss /api/internal/users/{id} because you never saw it in traffic. You submit a $500 P3 instead of a $20,000 P1 systemic finding.</w:t>
      </w:r>
    </w:p>
    <w:p>
      <w:pPr>
        <w:pStyle w:val="ListParagraph"/>
        <w:numPr>
          <w:ilvl w:val="0"/>
          <w:numId w:val="2"/>
        </w:numPr>
        <w:spacing w:before="60" w:after="60"/>
      </w:pPr>
      <w:r>
        <w:rPr>
          <w:rFonts w:ascii="Arial" w:cs="Arial" w:eastAsia="Arial" w:hAnsi="Arial"/>
          <w:b w:val="false"/>
          <w:bCs w:val="false"/>
          <w:color w:val="0D0D0D"/>
          <w:sz w:val="20"/>
          <w:szCs w:val="20"/>
        </w:rPr>
        <w:t xml:space="preserve">This happens to every hunter on every engagement. It's a coverage problem that scales with how many endpoints a target has. No tool solves it.</w:t>
      </w:r>
    </w:p>
    <w:p>
      <w:pPr>
        <w:spacing w:before="80" w:after="0"/>
      </w:pPr>
      <w:r>
        <w:t xml:space="preserve"/>
      </w:r>
    </w:p>
    <w:p>
      <w:pPr>
        <w:pStyle w:val="Heading3"/>
        <w:spacing w:before="240" w:after="80"/>
      </w:pPr>
      <w:r>
        <w:rPr>
          <w:rFonts w:ascii="Arial" w:cs="Arial" w:eastAsia="Arial" w:hAnsi="Arial"/>
          <w:b/>
          <w:bCs/>
          <w:color w:val="1A1A2E"/>
          <w:sz w:val="24"/>
          <w:szCs w:val="24"/>
        </w:rPr>
        <w:t xml:space="preserve">How Behavioral Equivalence Works</w:t>
      </w:r>
    </w:p>
    <w:p>
      <w:pPr>
        <w:spacing w:before="80" w:after="80"/>
        <w:ind w:left="360"/>
      </w:pPr>
      <w:r>
        <w:rPr>
          <w:rFonts w:ascii="Arial" w:cs="Arial" w:eastAsia="Arial" w:hAnsi="Arial"/>
          <w:b/>
          <w:bCs/>
          <w:color w:val="8E44AD"/>
          <w:sz w:val="20"/>
          <w:szCs w:val="20"/>
        </w:rPr>
        <w:t xml:space="preserve">1.  </w:t>
      </w:r>
      <w:r>
        <w:rPr>
          <w:rFonts w:ascii="Arial" w:cs="Arial" w:eastAsia="Arial" w:hAnsi="Arial"/>
          <w:b/>
          <w:bCs/>
          <w:color w:val="1A1A2E"/>
          <w:sz w:val="20"/>
          <w:szCs w:val="20"/>
        </w:rPr>
        <w:t xml:space="preserve">Confirm the oracle</w:t>
      </w:r>
      <w:r>
        <w:rPr>
          <w:rFonts w:ascii="Arial" w:cs="Arial" w:eastAsia="Arial" w:hAnsi="Arial"/>
          <w:color w:val="0D0D0D"/>
          <w:sz w:val="20"/>
          <w:szCs w:val="20"/>
        </w:rPr>
        <w:t xml:space="preserve">  —  a finding is confirmed with full evidence: status delta, body delta, field divergence signature</w:t>
      </w:r>
    </w:p>
    <w:p>
      <w:pPr>
        <w:spacing w:before="80" w:after="80"/>
        <w:ind w:left="360"/>
      </w:pPr>
      <w:r>
        <w:rPr>
          <w:rFonts w:ascii="Arial" w:cs="Arial" w:eastAsia="Arial" w:hAnsi="Arial"/>
          <w:b/>
          <w:bCs/>
          <w:color w:val="8E44AD"/>
          <w:sz w:val="20"/>
          <w:szCs w:val="20"/>
        </w:rPr>
        <w:t xml:space="preserve">2.  </w:t>
      </w:r>
      <w:r>
        <w:rPr>
          <w:rFonts w:ascii="Arial" w:cs="Arial" w:eastAsia="Arial" w:hAnsi="Arial"/>
          <w:b/>
          <w:bCs/>
          <w:color w:val="1A1A2E"/>
          <w:sz w:val="20"/>
          <w:szCs w:val="20"/>
        </w:rPr>
        <w:t xml:space="preserve">Extract behavioral fingerprint</w:t>
      </w:r>
      <w:r>
        <w:rPr>
          <w:rFonts w:ascii="Arial" w:cs="Arial" w:eastAsia="Arial" w:hAnsi="Arial"/>
          <w:color w:val="0D0D0D"/>
          <w:sz w:val="20"/>
          <w:szCs w:val="20"/>
        </w:rPr>
        <w:t xml:space="preserve">  —  not just the payload — the exact pattern of what changed in the response</w:t>
      </w:r>
    </w:p>
    <w:p>
      <w:pPr>
        <w:spacing w:before="80" w:after="80"/>
        <w:ind w:left="360"/>
      </w:pPr>
      <w:r>
        <w:rPr>
          <w:rFonts w:ascii="Arial" w:cs="Arial" w:eastAsia="Arial" w:hAnsi="Arial"/>
          <w:b/>
          <w:bCs/>
          <w:color w:val="8E44AD"/>
          <w:sz w:val="20"/>
          <w:szCs w:val="20"/>
        </w:rPr>
        <w:t xml:space="preserve">3.  </w:t>
      </w:r>
      <w:r>
        <w:rPr>
          <w:rFonts w:ascii="Arial" w:cs="Arial" w:eastAsia="Arial" w:hAnsi="Arial"/>
          <w:b/>
          <w:bCs/>
          <w:color w:val="1A1A2E"/>
          <w:sz w:val="20"/>
          <w:szCs w:val="20"/>
        </w:rPr>
        <w:t xml:space="preserve">Scan the full attack surface</w:t>
      </w:r>
      <w:r>
        <w:rPr>
          <w:rFonts w:ascii="Arial" w:cs="Arial" w:eastAsia="Arial" w:hAnsi="Arial"/>
          <w:color w:val="0D0D0D"/>
          <w:sz w:val="20"/>
          <w:szCs w:val="20"/>
        </w:rPr>
        <w:t xml:space="preserve">  —  every endpoint Sentinel has ever seen gets tested against that fingerprint</w:t>
      </w:r>
    </w:p>
    <w:p>
      <w:pPr>
        <w:spacing w:before="80" w:after="80"/>
        <w:ind w:left="360"/>
      </w:pPr>
      <w:r>
        <w:rPr>
          <w:rFonts w:ascii="Arial" w:cs="Arial" w:eastAsia="Arial" w:hAnsi="Arial"/>
          <w:b/>
          <w:bCs/>
          <w:color w:val="8E44AD"/>
          <w:sz w:val="20"/>
          <w:szCs w:val="20"/>
        </w:rPr>
        <w:t xml:space="preserve">4.  </w:t>
      </w:r>
      <w:r>
        <w:rPr>
          <w:rFonts w:ascii="Arial" w:cs="Arial" w:eastAsia="Arial" w:hAnsi="Arial"/>
          <w:b/>
          <w:bCs/>
          <w:color w:val="1A1A2E"/>
          <w:sz w:val="20"/>
          <w:szCs w:val="20"/>
        </w:rPr>
        <w:t xml:space="preserve">Report equivalence matches</w:t>
      </w:r>
      <w:r>
        <w:rPr>
          <w:rFonts w:ascii="Arial" w:cs="Arial" w:eastAsia="Arial" w:hAnsi="Arial"/>
          <w:color w:val="0D0D0D"/>
          <w:sz w:val="20"/>
          <w:szCs w:val="20"/>
        </w:rPr>
        <w:t xml:space="preserve">  —  endpoints that exhibit the same broken behavior are clustered into one systemic finding</w:t>
      </w:r>
    </w:p>
    <w:p>
      <w:pPr>
        <w:spacing w:before="80" w:after="0"/>
      </w:pPr>
      <w:r>
        <w:t xml:space="preserve"/>
      </w:r>
    </w:p>
    <w:p>
      <w:pPr>
        <w:pStyle w:val="Heading3"/>
        <w:spacing w:before="240" w:after="80"/>
      </w:pPr>
      <w:r>
        <w:rPr>
          <w:rFonts w:ascii="Arial" w:cs="Arial" w:eastAsia="Arial" w:hAnsi="Arial"/>
          <w:b/>
          <w:bCs/>
          <w:color w:val="1A1A2E"/>
          <w:sz w:val="24"/>
          <w:szCs w:val="24"/>
        </w:rPr>
        <w:t xml:space="preserve">Why This Is Different From Running The Same Payload Everywhere</w:t>
      </w:r>
    </w:p>
    <w:p>
      <w:pPr>
        <w:pStyle w:val="ListParagraph"/>
        <w:numPr>
          <w:ilvl w:val="0"/>
          <w:numId w:val="2"/>
        </w:numPr>
        <w:spacing w:before="60" w:after="60"/>
      </w:pPr>
      <w:r>
        <w:rPr>
          <w:rFonts w:ascii="Arial" w:cs="Arial" w:eastAsia="Arial" w:hAnsi="Arial"/>
          <w:b w:val="false"/>
          <w:bCs w:val="false"/>
          <w:color w:val="0D0D0D"/>
          <w:sz w:val="20"/>
          <w:szCs w:val="20"/>
        </w:rPr>
        <w:t xml:space="preserve">The fingerprint is behavioral, not syntactic. It doesn't ask 'did this payload work?' It asks 'did this endpoint respond in the same broken way?'</w:t>
      </w:r>
    </w:p>
    <w:p>
      <w:pPr>
        <w:pStyle w:val="ListParagraph"/>
        <w:numPr>
          <w:ilvl w:val="0"/>
          <w:numId w:val="2"/>
        </w:numPr>
        <w:spacing w:before="60" w:after="60"/>
      </w:pPr>
      <w:r>
        <w:rPr>
          <w:rFonts w:ascii="Arial" w:cs="Arial" w:eastAsia="Arial" w:hAnsi="Arial"/>
          <w:b w:val="false"/>
          <w:bCs w:val="false"/>
          <w:color w:val="0D0D0D"/>
          <w:sz w:val="20"/>
          <w:szCs w:val="20"/>
        </w:rPr>
        <w:t xml:space="preserve">This catches variants: the same underlying flaw expressed differently across v1/v2 endpoints, different object types, different HTTP methods.</w:t>
      </w:r>
    </w:p>
    <w:p>
      <w:pPr>
        <w:pStyle w:val="ListParagraph"/>
        <w:numPr>
          <w:ilvl w:val="0"/>
          <w:numId w:val="2"/>
        </w:numPr>
        <w:spacing w:before="60" w:after="60"/>
      </w:pPr>
      <w:r>
        <w:rPr>
          <w:rFonts w:ascii="Arial" w:cs="Arial" w:eastAsia="Arial" w:hAnsi="Arial"/>
          <w:b w:val="false"/>
          <w:bCs w:val="false"/>
          <w:color w:val="0D0D0D"/>
          <w:sz w:val="20"/>
          <w:szCs w:val="20"/>
        </w:rPr>
        <w:t xml:space="preserve">The output is a systemic finding report: one root cause, N confirmed instances, ordered by severity. Programs take these very seriously.</w:t>
      </w:r>
    </w:p>
    <w:p>
      <w:pPr>
        <w:spacing w:before="80" w:after="0"/>
      </w:pPr>
      <w:r>
        <w:t xml:space="preserve"/>
      </w:r>
    </w:p>
    <w:p>
      <w:pPr>
        <w:pStyle w:val="Heading3"/>
        <w:spacing w:before="240" w:after="80"/>
      </w:pPr>
      <w:r>
        <w:rPr>
          <w:rFonts w:ascii="Arial" w:cs="Arial" w:eastAsia="Arial" w:hAnsi="Arial"/>
          <w:b/>
          <w:bCs/>
          <w:color w:val="1A1A2E"/>
          <w:sz w:val="24"/>
          <w:szCs w:val="24"/>
        </w:rPr>
        <w:t xml:space="preserve">The Bounty Math</w:t>
      </w:r>
    </w:p>
    <w:p>
      <w:pPr>
        <w:pStyle w:val="ListParagraph"/>
        <w:numPr>
          <w:ilvl w:val="0"/>
          <w:numId w:val="2"/>
        </w:numPr>
        <w:spacing w:before="60" w:after="60"/>
      </w:pPr>
      <w:r>
        <w:rPr>
          <w:rFonts w:ascii="Arial" w:cs="Arial" w:eastAsia="Arial" w:hAnsi="Arial"/>
          <w:b w:val="false"/>
          <w:bCs w:val="false"/>
          <w:color w:val="0D0D0D"/>
          <w:sz w:val="20"/>
          <w:szCs w:val="20"/>
        </w:rPr>
        <w:t xml:space="preserve">Single IDOR on orders: $500 (P3)</w:t>
      </w:r>
    </w:p>
    <w:p>
      <w:pPr>
        <w:pStyle w:val="ListParagraph"/>
        <w:numPr>
          <w:ilvl w:val="0"/>
          <w:numId w:val="2"/>
        </w:numPr>
        <w:spacing w:before="60" w:after="60"/>
      </w:pPr>
      <w:r>
        <w:rPr>
          <w:rFonts w:ascii="Arial" w:cs="Arial" w:eastAsia="Arial" w:hAnsi="Arial"/>
          <w:b w:val="false"/>
          <w:bCs w:val="false"/>
          <w:color w:val="0D0D0D"/>
          <w:sz w:val="20"/>
          <w:szCs w:val="20"/>
        </w:rPr>
        <w:t xml:space="preserve">Systemic IDOR across 6 endpoint families including admin: $15,000–$25,000 (P1)</w:t>
      </w:r>
    </w:p>
    <w:p>
      <w:pPr>
        <w:pStyle w:val="ListParagraph"/>
        <w:numPr>
          <w:ilvl w:val="0"/>
          <w:numId w:val="2"/>
        </w:numPr>
        <w:spacing w:before="60" w:after="60"/>
      </w:pPr>
      <w:r>
        <w:rPr>
          <w:rFonts w:ascii="Arial" w:cs="Arial" w:eastAsia="Arial" w:hAnsi="Arial"/>
          <w:b w:val="false"/>
          <w:bCs w:val="false"/>
          <w:color w:val="0D0D0D"/>
          <w:sz w:val="20"/>
          <w:szCs w:val="20"/>
        </w:rPr>
        <w:t xml:space="preserve">The engineering work is the same. The difference is whether you checked everywhere.</w:t>
      </w:r>
    </w:p>
    <w:p>
      <w:pPr>
        <w:spacing w:before="80" w:after="0"/>
      </w:pPr>
      <w:r>
        <w:t xml:space="preserve"/>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W w:type="dxa" w:w="308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Without Sentinel</w:t>
            </w:r>
          </w:p>
        </w:tc>
        <w:tc>
          <w:tcPr>
            <w:tcW w:type="dxa" w:w="308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With Sentinel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D0D0D"/>
                <w:sz w:val="18"/>
                <w:szCs w:val="18"/>
              </w:rPr>
              <w:t xml:space="preserve">IDOR on orders endpoint</w:t>
            </w:r>
          </w:p>
        </w:tc>
        <w:tc>
          <w:tcPr>
            <w:tcW w:type="dxa" w:w="3080"/>
            <w:tcBorders>
              <w:top w:val="single" w:color="CCCCCC" w:sz="1"/>
              <w:left w:val="single" w:color="CCCCCC" w:sz="1"/>
              <w:bottom w:val="single" w:color="CCCCCC" w:sz="1"/>
              <w:right w:val="single" w:color="CCCCCC" w:sz="1"/>
            </w:tcBorders>
            <w:shd w:fill="FDF2F2" w:val="clear"/>
            <w:tcMar>
              <w:top w:type="dxa" w:w="80"/>
              <w:left w:type="dxa" w:w="160"/>
              <w:bottom w:type="dxa" w:w="80"/>
              <w:right w:type="dxa" w:w="160"/>
            </w:tcMar>
          </w:tcPr>
          <w:p>
            <w:r>
              <w:rPr>
                <w:rFonts w:ascii="Arial" w:cs="Arial" w:eastAsia="Arial" w:hAnsi="Arial"/>
                <w:color w:val="0D0D0D"/>
                <w:sz w:val="18"/>
                <w:szCs w:val="18"/>
              </w:rPr>
              <w:t xml:space="preserve">$500 P3 — one instance</w:t>
            </w:r>
          </w:p>
        </w:tc>
        <w:tc>
          <w:tcPr>
            <w:tcW w:type="dxa" w:w="30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0D0D0D"/>
                <w:sz w:val="18"/>
                <w:szCs w:val="18"/>
              </w:rPr>
              <w:t xml:space="preserve">$20,000 P1 — 6 endpoint families, systemic finding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D0D0D"/>
                <w:sz w:val="18"/>
                <w:szCs w:val="18"/>
              </w:rPr>
              <w:t xml:space="preserve">Auth bypass on one route</w:t>
            </w:r>
          </w:p>
        </w:tc>
        <w:tc>
          <w:tcPr>
            <w:tcW w:type="dxa" w:w="3080"/>
            <w:tcBorders>
              <w:top w:val="single" w:color="CCCCCC" w:sz="1"/>
              <w:left w:val="single" w:color="CCCCCC" w:sz="1"/>
              <w:bottom w:val="single" w:color="CCCCCC" w:sz="1"/>
              <w:right w:val="single" w:color="CCCCCC" w:sz="1"/>
            </w:tcBorders>
            <w:shd w:fill="FEF9F9" w:val="clear"/>
            <w:tcMar>
              <w:top w:type="dxa" w:w="80"/>
              <w:left w:type="dxa" w:w="160"/>
              <w:bottom w:type="dxa" w:w="80"/>
              <w:right w:type="dxa" w:w="160"/>
            </w:tcMar>
          </w:tcPr>
          <w:p>
            <w:r>
              <w:rPr>
                <w:rFonts w:ascii="Arial" w:cs="Arial" w:eastAsia="Arial" w:hAnsi="Arial"/>
                <w:color w:val="0D0D0D"/>
                <w:sz w:val="18"/>
                <w:szCs w:val="18"/>
              </w:rPr>
              <w:t xml:space="preserve">$2,000 P2 — isolated</w:t>
            </w:r>
          </w:p>
        </w:tc>
        <w:tc>
          <w:tcPr>
            <w:tcW w:type="dxa" w:w="3080"/>
            <w:tcBorders>
              <w:top w:val="single" w:color="CCCCCC" w:sz="1"/>
              <w:left w:val="single" w:color="CCCCCC" w:sz="1"/>
              <w:bottom w:val="single" w:color="CCCCCC" w:sz="1"/>
              <w:right w:val="single" w:color="CCCCCC" w:sz="1"/>
            </w:tcBorders>
            <w:shd w:fill="F8FFFA" w:val="clear"/>
            <w:tcMar>
              <w:top w:type="dxa" w:w="80"/>
              <w:left w:type="dxa" w:w="160"/>
              <w:bottom w:type="dxa" w:w="80"/>
              <w:right w:type="dxa" w:w="160"/>
            </w:tcMar>
          </w:tcPr>
          <w:p>
            <w:r>
              <w:rPr>
                <w:rFonts w:ascii="Arial" w:cs="Arial" w:eastAsia="Arial" w:hAnsi="Arial"/>
                <w:color w:val="0D0D0D"/>
                <w:sz w:val="18"/>
                <w:szCs w:val="18"/>
              </w:rPr>
              <w:t xml:space="preserve">$18,000 P1 — same bypass pattern on 4 privilege-sensitive routes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D0D0D"/>
                <w:sz w:val="18"/>
                <w:szCs w:val="18"/>
              </w:rPr>
              <w:t xml:space="preserve">Info disclosure in response</w:t>
            </w:r>
          </w:p>
        </w:tc>
        <w:tc>
          <w:tcPr>
            <w:tcW w:type="dxa" w:w="3080"/>
            <w:tcBorders>
              <w:top w:val="single" w:color="CCCCCC" w:sz="1"/>
              <w:left w:val="single" w:color="CCCCCC" w:sz="1"/>
              <w:bottom w:val="single" w:color="CCCCCC" w:sz="1"/>
              <w:right w:val="single" w:color="CCCCCC" w:sz="1"/>
            </w:tcBorders>
            <w:shd w:fill="FDF2F2" w:val="clear"/>
            <w:tcMar>
              <w:top w:type="dxa" w:w="80"/>
              <w:left w:type="dxa" w:w="160"/>
              <w:bottom w:type="dxa" w:w="80"/>
              <w:right w:type="dxa" w:w="160"/>
            </w:tcMar>
          </w:tcPr>
          <w:p>
            <w:r>
              <w:rPr>
                <w:rFonts w:ascii="Arial" w:cs="Arial" w:eastAsia="Arial" w:hAnsi="Arial"/>
                <w:color w:val="0D0D0D"/>
                <w:sz w:val="18"/>
                <w:szCs w:val="18"/>
              </w:rPr>
              <w:t xml:space="preserve">$200 — one field</w:t>
            </w:r>
          </w:p>
        </w:tc>
        <w:tc>
          <w:tcPr>
            <w:tcW w:type="dxa" w:w="30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0D0D0D"/>
                <w:sz w:val="18"/>
                <w:szCs w:val="18"/>
              </w:rPr>
              <w:t xml:space="preserve">$5,000 — same field leaks across 8 object types</w:t>
            </w:r>
          </w:p>
        </w:tc>
      </w:tr>
    </w:tbl>
    <w:p>
      <w:pPr>
        <w:spacing w:before="480" w:after="0"/>
      </w:pPr>
      <w:r>
        <w:t xml:space="preserve"/>
      </w:r>
    </w:p>
    <w:p>
      <w:r>
        <w:br w:type="page"/>
      </w:r>
    </w:p>
    <w:p>
      <w:pPr>
        <w:shd w:fill="2980B9" w:val="clear"/>
        <w:spacing w:before="480" w:after="0"/>
        <w:ind w:left="0"/>
      </w:pPr>
      <w:r>
        <w:rPr>
          <w:rFonts w:ascii="Arial" w:cs="Arial" w:eastAsia="Arial" w:hAnsi="Arial"/>
          <w:b/>
          <w:bCs/>
          <w:color w:val="FFFFFF"/>
          <w:sz w:val="28"/>
          <w:szCs w:val="28"/>
        </w:rPr>
        <w:t xml:space="preserve">  #4  </w:t>
      </w:r>
      <w:r>
        <w:rPr>
          <w:rFonts w:ascii="Arial" w:cs="Arial" w:eastAsia="Arial" w:hAnsi="Arial"/>
          <w:b/>
          <w:bCs/>
          <w:color w:val="FFFFFF"/>
          <w:sz w:val="28"/>
          <w:szCs w:val="28"/>
        </w:rPr>
        <w:t xml:space="preserve">  Trust Boundary Inference Engine</w:t>
      </w:r>
    </w:p>
    <w:p>
      <w:pPr>
        <w:shd w:fill="1A1A2E" w:val="clear"/>
        <w:spacing w:before="0" w:after="240"/>
      </w:pPr>
      <w:r>
        <w:rPr>
          <w:rFonts w:ascii="Arial" w:cs="Arial" w:eastAsia="Arial" w:hAnsi="Arial"/>
          <w:i/>
          <w:iCs/>
          <w:color w:val="FFFFFF"/>
          <w:sz w:val="20"/>
          <w:szCs w:val="20"/>
        </w:rPr>
        <w:t xml:space="preserve">  Find the Parameters the Server Trusts That It Shouldn't</w:t>
      </w:r>
    </w:p>
    <w:p>
      <w:pPr>
        <w:pBdr>
          <w:left w:val="single" w:color="2980B9" w:sz="12" w:space="8"/>
        </w:pBdr>
        <w:spacing w:before="120" w:after="120"/>
        <w:ind w:left="360"/>
      </w:pPr>
      <w:r>
        <w:rPr>
          <w:rFonts w:ascii="Arial" w:cs="Arial" w:eastAsia="Arial" w:hAnsi="Arial"/>
          <w:b/>
          <w:bCs/>
          <w:color w:val="2980B9"/>
          <w:sz w:val="20"/>
          <w:szCs w:val="20"/>
        </w:rPr>
        <w:t xml:space="preserve">WHY IT MATTERS:  </w:t>
      </w:r>
      <w:r>
        <w:rPr>
          <w:rFonts w:ascii="Arial" w:cs="Arial" w:eastAsia="Arial" w:hAnsi="Arial"/>
          <w:color w:val="0D0D0D"/>
          <w:sz w:val="20"/>
          <w:szCs w:val="20"/>
        </w:rPr>
        <w:t xml:space="preserve">The most critical vulnerabilities live at trust boundaries. Every app has them. Nobody finds them systematically.</w:t>
      </w:r>
    </w:p>
    <w:p>
      <w:pPr>
        <w:spacing w:before="120" w:after="0"/>
      </w:pPr>
      <w:r>
        <w:t xml:space="preserve"/>
      </w:r>
    </w:p>
    <w:p>
      <w:pPr>
        <w:pStyle w:val="Heading3"/>
        <w:spacing w:before="240" w:after="80"/>
      </w:pPr>
      <w:r>
        <w:rPr>
          <w:rFonts w:ascii="Arial" w:cs="Arial" w:eastAsia="Arial" w:hAnsi="Arial"/>
          <w:b/>
          <w:bCs/>
          <w:color w:val="1A1A2E"/>
          <w:sz w:val="24"/>
          <w:szCs w:val="24"/>
        </w:rPr>
        <w:t xml:space="preserve">What a Trust Boundary Is</w:t>
      </w:r>
    </w:p>
    <w:p>
      <w:pPr>
        <w:pStyle w:val="ListParagraph"/>
        <w:numPr>
          <w:ilvl w:val="0"/>
          <w:numId w:val="2"/>
        </w:numPr>
        <w:spacing w:before="60" w:after="60"/>
      </w:pPr>
      <w:r>
        <w:rPr>
          <w:rFonts w:ascii="Arial" w:cs="Arial" w:eastAsia="Arial" w:hAnsi="Arial"/>
          <w:b w:val="false"/>
          <w:bCs w:val="false"/>
          <w:color w:val="0D0D0D"/>
          <w:sz w:val="20"/>
          <w:szCs w:val="20"/>
        </w:rPr>
        <w:t xml:space="preserve">A trust boundary is where one system component trusts another without verification.</w:t>
      </w:r>
    </w:p>
    <w:p>
      <w:pPr>
        <w:pStyle w:val="ListParagraph"/>
        <w:numPr>
          <w:ilvl w:val="0"/>
          <w:numId w:val="2"/>
        </w:numPr>
        <w:spacing w:before="60" w:after="60"/>
      </w:pPr>
      <w:r>
        <w:rPr>
          <w:rFonts w:ascii="Arial" w:cs="Arial" w:eastAsia="Arial" w:hAnsi="Arial"/>
          <w:b w:val="false"/>
          <w:bCs w:val="false"/>
          <w:color w:val="0D0D0D"/>
          <w:sz w:val="20"/>
          <w:szCs w:val="20"/>
        </w:rPr>
        <w:t xml:space="preserve">Frontend sends { role: 'admin', userId: 123 } in the request body. Backend trusts it. That's a critical vulnerability.</w:t>
      </w:r>
    </w:p>
    <w:p>
      <w:pPr>
        <w:pStyle w:val="ListParagraph"/>
        <w:numPr>
          <w:ilvl w:val="0"/>
          <w:numId w:val="2"/>
        </w:numPr>
        <w:spacing w:before="60" w:after="60"/>
      </w:pPr>
      <w:r>
        <w:rPr>
          <w:rFonts w:ascii="Arial" w:cs="Arial" w:eastAsia="Arial" w:hAnsi="Arial"/>
          <w:b w:val="false"/>
          <w:bCs w:val="false"/>
          <w:color w:val="0D0D0D"/>
          <w:sz w:val="20"/>
          <w:szCs w:val="20"/>
        </w:rPr>
        <w:t xml:space="preserve">Service A forwards X-Forwarded-For to service B which uses it for rate limiting. That's bypassable.</w:t>
      </w:r>
    </w:p>
    <w:p>
      <w:pPr>
        <w:pStyle w:val="ListParagraph"/>
        <w:numPr>
          <w:ilvl w:val="0"/>
          <w:numId w:val="2"/>
        </w:numPr>
        <w:spacing w:before="60" w:after="60"/>
      </w:pPr>
      <w:r>
        <w:rPr>
          <w:rFonts w:ascii="Arial" w:cs="Arial" w:eastAsia="Arial" w:hAnsi="Arial"/>
          <w:b w:val="false"/>
          <w:bCs w:val="false"/>
          <w:color w:val="0D0D0D"/>
          <w:sz w:val="20"/>
          <w:szCs w:val="20"/>
        </w:rPr>
        <w:t xml:space="preserve">Every senior hunter knows to look for these. Nobody has a systematic way to find them.</w:t>
      </w:r>
    </w:p>
    <w:p>
      <w:pPr>
        <w:spacing w:before="80" w:after="0"/>
      </w:pPr>
      <w:r>
        <w:t xml:space="preserve"/>
      </w:r>
    </w:p>
    <w:p>
      <w:pPr>
        <w:pStyle w:val="Heading3"/>
        <w:spacing w:before="240" w:after="80"/>
      </w:pPr>
      <w:r>
        <w:rPr>
          <w:rFonts w:ascii="Arial" w:cs="Arial" w:eastAsia="Arial" w:hAnsi="Arial"/>
          <w:b/>
          <w:bCs/>
          <w:color w:val="1A1A2E"/>
          <w:sz w:val="24"/>
          <w:szCs w:val="24"/>
        </w:rPr>
        <w:t xml:space="preserve">How Sentinel Infers the Boundaries</w:t>
      </w:r>
    </w:p>
    <w:p>
      <w:pPr>
        <w:spacing w:before="80" w:after="80"/>
        <w:ind w:left="360"/>
      </w:pPr>
      <w:r>
        <w:rPr>
          <w:rFonts w:ascii="Arial" w:cs="Arial" w:eastAsia="Arial" w:hAnsi="Arial"/>
          <w:b/>
          <w:bCs/>
          <w:color w:val="2980B9"/>
          <w:sz w:val="20"/>
          <w:szCs w:val="20"/>
        </w:rPr>
        <w:t xml:space="preserve">1.  </w:t>
      </w:r>
      <w:r>
        <w:rPr>
          <w:rFonts w:ascii="Arial" w:cs="Arial" w:eastAsia="Arial" w:hAnsi="Arial"/>
          <w:b/>
          <w:bCs/>
          <w:color w:val="1A1A2E"/>
          <w:sz w:val="20"/>
          <w:szCs w:val="20"/>
        </w:rPr>
        <w:t xml:space="preserve">Watch for server-injected fields</w:t>
      </w:r>
      <w:r>
        <w:rPr>
          <w:rFonts w:ascii="Arial" w:cs="Arial" w:eastAsia="Arial" w:hAnsi="Arial"/>
          <w:color w:val="0D0D0D"/>
          <w:sz w:val="20"/>
          <w:szCs w:val="20"/>
        </w:rPr>
        <w:t xml:space="preserve">  —  values that appear in responses but weren't in the request — the server computed them, which means maybe you can influence the computation</w:t>
      </w:r>
    </w:p>
    <w:p>
      <w:pPr>
        <w:spacing w:before="80" w:after="80"/>
        <w:ind w:left="360"/>
      </w:pPr>
      <w:r>
        <w:rPr>
          <w:rFonts w:ascii="Arial" w:cs="Arial" w:eastAsia="Arial" w:hAnsi="Arial"/>
          <w:b/>
          <w:bCs/>
          <w:color w:val="2980B9"/>
          <w:sz w:val="20"/>
          <w:szCs w:val="20"/>
        </w:rPr>
        <w:t xml:space="preserve">2.  </w:t>
      </w:r>
      <w:r>
        <w:rPr>
          <w:rFonts w:ascii="Arial" w:cs="Arial" w:eastAsia="Arial" w:hAnsi="Arial"/>
          <w:b/>
          <w:bCs/>
          <w:color w:val="1A1A2E"/>
          <w:sz w:val="20"/>
          <w:szCs w:val="20"/>
        </w:rPr>
        <w:t xml:space="preserve">Track header forwarding</w:t>
      </w:r>
      <w:r>
        <w:rPr>
          <w:rFonts w:ascii="Arial" w:cs="Arial" w:eastAsia="Arial" w:hAnsi="Arial"/>
          <w:color w:val="0D0D0D"/>
          <w:sz w:val="20"/>
          <w:szCs w:val="20"/>
        </w:rPr>
        <w:t xml:space="preserve">  —  identify which request headers appear in downstream response metadata or error messages</w:t>
      </w:r>
    </w:p>
    <w:p>
      <w:pPr>
        <w:spacing w:before="80" w:after="80"/>
        <w:ind w:left="360"/>
      </w:pPr>
      <w:r>
        <w:rPr>
          <w:rFonts w:ascii="Arial" w:cs="Arial" w:eastAsia="Arial" w:hAnsi="Arial"/>
          <w:b/>
          <w:bCs/>
          <w:color w:val="2980B9"/>
          <w:sz w:val="20"/>
          <w:szCs w:val="20"/>
        </w:rPr>
        <w:t xml:space="preserve">3.  </w:t>
      </w:r>
      <w:r>
        <w:rPr>
          <w:rFonts w:ascii="Arial" w:cs="Arial" w:eastAsia="Arial" w:hAnsi="Arial"/>
          <w:b/>
          <w:bCs/>
          <w:color w:val="1A1A2E"/>
          <w:sz w:val="20"/>
          <w:szCs w:val="20"/>
        </w:rPr>
        <w:t xml:space="preserve">Find client-trusted parameters</w:t>
      </w:r>
      <w:r>
        <w:rPr>
          <w:rFonts w:ascii="Arial" w:cs="Arial" w:eastAsia="Arial" w:hAnsi="Arial"/>
          <w:color w:val="0D0D0D"/>
          <w:sz w:val="20"/>
          <w:szCs w:val="20"/>
        </w:rPr>
        <w:t xml:space="preserve">  —  fields in request bodies that look security-sensitive: role, isAdmin, userId, accountId, permissions</w:t>
      </w:r>
    </w:p>
    <w:p>
      <w:pPr>
        <w:spacing w:before="80" w:after="80"/>
        <w:ind w:left="360"/>
      </w:pPr>
      <w:r>
        <w:rPr>
          <w:rFonts w:ascii="Arial" w:cs="Arial" w:eastAsia="Arial" w:hAnsi="Arial"/>
          <w:b/>
          <w:bCs/>
          <w:color w:val="2980B9"/>
          <w:sz w:val="20"/>
          <w:szCs w:val="20"/>
        </w:rPr>
        <w:t xml:space="preserve">4.  </w:t>
      </w:r>
      <w:r>
        <w:rPr>
          <w:rFonts w:ascii="Arial" w:cs="Arial" w:eastAsia="Arial" w:hAnsi="Arial"/>
          <w:b/>
          <w:bCs/>
          <w:color w:val="1A1A2E"/>
          <w:sz w:val="20"/>
          <w:szCs w:val="20"/>
        </w:rPr>
        <w:t xml:space="preserve">Detect validation asymmetry</w:t>
      </w:r>
      <w:r>
        <w:rPr>
          <w:rFonts w:ascii="Arial" w:cs="Arial" w:eastAsia="Arial" w:hAnsi="Arial"/>
          <w:color w:val="0D0D0D"/>
          <w:sz w:val="20"/>
          <w:szCs w:val="20"/>
        </w:rPr>
        <w:t xml:space="preserve">  —  parameters validated client-side (JS) but not server-side — strip the validation and send directly</w:t>
      </w:r>
    </w:p>
    <w:p>
      <w:pPr>
        <w:spacing w:before="80" w:after="0"/>
      </w:pPr>
      <w:r>
        <w:t xml:space="preserve"/>
      </w:r>
    </w:p>
    <w:p>
      <w:pPr>
        <w:pStyle w:val="Heading3"/>
        <w:spacing w:before="240" w:after="80"/>
      </w:pPr>
      <w:r>
        <w:rPr>
          <w:rFonts w:ascii="Arial" w:cs="Arial" w:eastAsia="Arial" w:hAnsi="Arial"/>
          <w:b/>
          <w:bCs/>
          <w:color w:val="1A1A2E"/>
          <w:sz w:val="24"/>
          <w:szCs w:val="24"/>
        </w:rPr>
        <w:t xml:space="preserve">Attack Vectors Generated</w:t>
      </w:r>
    </w:p>
    <w:p>
      <w:pPr>
        <w:pStyle w:val="ListParagraph"/>
        <w:numPr>
          <w:ilvl w:val="0"/>
          <w:numId w:val="2"/>
        </w:numPr>
        <w:spacing w:before="60" w:after="60"/>
      </w:pPr>
      <w:r>
        <w:rPr>
          <w:rFonts w:ascii="Arial" w:cs="Arial" w:eastAsia="Arial" w:hAnsi="Arial"/>
          <w:b w:val="false"/>
          <w:bCs w:val="false"/>
          <w:color w:val="0D0D0D"/>
          <w:sz w:val="20"/>
          <w:szCs w:val="20"/>
        </w:rPr>
        <w:t xml:space="preserve">Mass assignment: inject role/permissions fields into account update requests</w:t>
      </w:r>
    </w:p>
    <w:p>
      <w:pPr>
        <w:pStyle w:val="ListParagraph"/>
        <w:numPr>
          <w:ilvl w:val="0"/>
          <w:numId w:val="2"/>
        </w:numPr>
        <w:spacing w:before="60" w:after="60"/>
      </w:pPr>
      <w:r>
        <w:rPr>
          <w:rFonts w:ascii="Arial" w:cs="Arial" w:eastAsia="Arial" w:hAnsi="Arial"/>
          <w:b w:val="false"/>
          <w:bCs w:val="false"/>
          <w:color w:val="0D0D0D"/>
          <w:sz w:val="20"/>
          <w:szCs w:val="20"/>
        </w:rPr>
        <w:t xml:space="preserve">Header injection: X-Original-IP, X-Real-IP, X-Forwarded-For to bypass IP-based access controls</w:t>
      </w:r>
    </w:p>
    <w:p>
      <w:pPr>
        <w:pStyle w:val="ListParagraph"/>
        <w:numPr>
          <w:ilvl w:val="0"/>
          <w:numId w:val="2"/>
        </w:numPr>
        <w:spacing w:before="60" w:after="60"/>
      </w:pPr>
      <w:r>
        <w:rPr>
          <w:rFonts w:ascii="Arial" w:cs="Arial" w:eastAsia="Arial" w:hAnsi="Arial"/>
          <w:b w:val="false"/>
          <w:bCs w:val="false"/>
          <w:color w:val="0D0D0D"/>
          <w:sz w:val="20"/>
          <w:szCs w:val="20"/>
        </w:rPr>
        <w:t xml:space="preserve">Parameter pollution: send the same parameter twice with different values, observe which one wins</w:t>
      </w:r>
    </w:p>
    <w:p>
      <w:pPr>
        <w:pStyle w:val="ListParagraph"/>
        <w:numPr>
          <w:ilvl w:val="0"/>
          <w:numId w:val="2"/>
        </w:numPr>
        <w:spacing w:before="60" w:after="60"/>
      </w:pPr>
      <w:r>
        <w:rPr>
          <w:rFonts w:ascii="Arial" w:cs="Arial" w:eastAsia="Arial" w:hAnsi="Arial"/>
          <w:b w:val="false"/>
          <w:bCs w:val="false"/>
          <w:color w:val="0D0D0D"/>
          <w:sz w:val="20"/>
          <w:szCs w:val="20"/>
        </w:rPr>
        <w:t xml:space="preserve">Server-field influence: identify computed response fields and attempt to inject them in requests</w:t>
      </w:r>
    </w:p>
    <w:p>
      <w:pPr>
        <w:pStyle w:val="ListParagraph"/>
        <w:numPr>
          <w:ilvl w:val="0"/>
          <w:numId w:val="2"/>
        </w:numPr>
        <w:spacing w:before="60" w:after="60"/>
      </w:pPr>
      <w:r>
        <w:rPr>
          <w:rFonts w:ascii="Arial" w:cs="Arial" w:eastAsia="Arial" w:hAnsi="Arial"/>
          <w:b w:val="false"/>
          <w:bCs w:val="false"/>
          <w:color w:val="0D0D0D"/>
          <w:sz w:val="20"/>
          <w:szCs w:val="20"/>
        </w:rPr>
        <w:t xml:space="preserve">Service-to-service header trust: headers that get forwarded to internal services with elevated trust</w:t>
      </w:r>
    </w:p>
    <w:p>
      <w:pPr>
        <w:spacing w:before="80" w:after="0"/>
      </w:pPr>
      <w:r>
        <w:t xml:space="preserve"/>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W w:type="dxa" w:w="308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Without Sentinel</w:t>
            </w:r>
          </w:p>
        </w:tc>
        <w:tc>
          <w:tcPr>
            <w:tcW w:type="dxa" w:w="308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With Sentinel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D0D0D"/>
                <w:sz w:val="18"/>
                <w:szCs w:val="18"/>
              </w:rPr>
              <w:t xml:space="preserve">Account update endpoint</w:t>
            </w:r>
          </w:p>
        </w:tc>
        <w:tc>
          <w:tcPr>
            <w:tcW w:type="dxa" w:w="3080"/>
            <w:tcBorders>
              <w:top w:val="single" w:color="CCCCCC" w:sz="1"/>
              <w:left w:val="single" w:color="CCCCCC" w:sz="1"/>
              <w:bottom w:val="single" w:color="CCCCCC" w:sz="1"/>
              <w:right w:val="single" w:color="CCCCCC" w:sz="1"/>
            </w:tcBorders>
            <w:shd w:fill="FDF2F2" w:val="clear"/>
            <w:tcMar>
              <w:top w:type="dxa" w:w="80"/>
              <w:left w:type="dxa" w:w="160"/>
              <w:bottom w:type="dxa" w:w="80"/>
              <w:right w:type="dxa" w:w="160"/>
            </w:tcMar>
          </w:tcPr>
          <w:p>
            <w:r>
              <w:rPr>
                <w:rFonts w:ascii="Arial" w:cs="Arial" w:eastAsia="Arial" w:hAnsi="Arial"/>
                <w:color w:val="0D0D0D"/>
                <w:sz w:val="18"/>
                <w:szCs w:val="18"/>
              </w:rPr>
              <w:t xml:space="preserve">$0 — looks like profile update</w:t>
            </w:r>
          </w:p>
        </w:tc>
        <w:tc>
          <w:tcPr>
            <w:tcW w:type="dxa" w:w="30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0D0D0D"/>
                <w:sz w:val="18"/>
                <w:szCs w:val="18"/>
              </w:rPr>
              <w:t xml:space="preserve">$20,000 — role: admin accepted, instant privilege escalation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D0D0D"/>
                <w:sz w:val="18"/>
                <w:szCs w:val="18"/>
              </w:rPr>
              <w:t xml:space="preserve">IP rate limiting</w:t>
            </w:r>
          </w:p>
        </w:tc>
        <w:tc>
          <w:tcPr>
            <w:tcW w:type="dxa" w:w="3080"/>
            <w:tcBorders>
              <w:top w:val="single" w:color="CCCCCC" w:sz="1"/>
              <w:left w:val="single" w:color="CCCCCC" w:sz="1"/>
              <w:bottom w:val="single" w:color="CCCCCC" w:sz="1"/>
              <w:right w:val="single" w:color="CCCCCC" w:sz="1"/>
            </w:tcBorders>
            <w:shd w:fill="FEF9F9" w:val="clear"/>
            <w:tcMar>
              <w:top w:type="dxa" w:w="80"/>
              <w:left w:type="dxa" w:w="160"/>
              <w:bottom w:type="dxa" w:w="80"/>
              <w:right w:type="dxa" w:w="160"/>
            </w:tcMar>
          </w:tcPr>
          <w:p>
            <w:r>
              <w:rPr>
                <w:rFonts w:ascii="Arial" w:cs="Arial" w:eastAsia="Arial" w:hAnsi="Arial"/>
                <w:color w:val="0D0D0D"/>
                <w:sz w:val="18"/>
                <w:szCs w:val="18"/>
              </w:rPr>
              <w:t xml:space="preserve">$0 — blocked after 5 requests</w:t>
            </w:r>
          </w:p>
        </w:tc>
        <w:tc>
          <w:tcPr>
            <w:tcW w:type="dxa" w:w="3080"/>
            <w:tcBorders>
              <w:top w:val="single" w:color="CCCCCC" w:sz="1"/>
              <w:left w:val="single" w:color="CCCCCC" w:sz="1"/>
              <w:bottom w:val="single" w:color="CCCCCC" w:sz="1"/>
              <w:right w:val="single" w:color="CCCCCC" w:sz="1"/>
            </w:tcBorders>
            <w:shd w:fill="F8FFFA" w:val="clear"/>
            <w:tcMar>
              <w:top w:type="dxa" w:w="80"/>
              <w:left w:type="dxa" w:w="160"/>
              <w:bottom w:type="dxa" w:w="80"/>
              <w:right w:type="dxa" w:w="160"/>
            </w:tcMar>
          </w:tcPr>
          <w:p>
            <w:r>
              <w:rPr>
                <w:rFonts w:ascii="Arial" w:cs="Arial" w:eastAsia="Arial" w:hAnsi="Arial"/>
                <w:color w:val="0D0D0D"/>
                <w:sz w:val="18"/>
                <w:szCs w:val="18"/>
              </w:rPr>
              <w:t xml:space="preserve">$8,000 — X-Forwarded-For bypass, full brute force capability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D0D0D"/>
                <w:sz w:val="18"/>
                <w:szCs w:val="18"/>
              </w:rPr>
              <w:t xml:space="preserve">Multi-service architecture</w:t>
            </w:r>
          </w:p>
        </w:tc>
        <w:tc>
          <w:tcPr>
            <w:tcW w:type="dxa" w:w="3080"/>
            <w:tcBorders>
              <w:top w:val="single" w:color="CCCCCC" w:sz="1"/>
              <w:left w:val="single" w:color="CCCCCC" w:sz="1"/>
              <w:bottom w:val="single" w:color="CCCCCC" w:sz="1"/>
              <w:right w:val="single" w:color="CCCCCC" w:sz="1"/>
            </w:tcBorders>
            <w:shd w:fill="FDF2F2" w:val="clear"/>
            <w:tcMar>
              <w:top w:type="dxa" w:w="80"/>
              <w:left w:type="dxa" w:w="160"/>
              <w:bottom w:type="dxa" w:w="80"/>
              <w:right w:type="dxa" w:w="160"/>
            </w:tcMar>
          </w:tcPr>
          <w:p>
            <w:r>
              <w:rPr>
                <w:rFonts w:ascii="Arial" w:cs="Arial" w:eastAsia="Arial" w:hAnsi="Arial"/>
                <w:color w:val="0D0D0D"/>
                <w:sz w:val="18"/>
                <w:szCs w:val="18"/>
              </w:rPr>
              <w:t xml:space="preserve">$0 — nothing obvious</w:t>
            </w:r>
          </w:p>
        </w:tc>
        <w:tc>
          <w:tcPr>
            <w:tcW w:type="dxa" w:w="30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0D0D0D"/>
                <w:sz w:val="18"/>
                <w:szCs w:val="18"/>
              </w:rPr>
              <w:t xml:space="preserve">$15,000 — internal trust header grants admin access to internal service</w:t>
            </w:r>
          </w:p>
        </w:tc>
      </w:tr>
    </w:tbl>
    <w:p>
      <w:pPr>
        <w:spacing w:before="480" w:after="0"/>
      </w:pPr>
      <w:r>
        <w:t xml:space="preserve"/>
      </w:r>
    </w:p>
    <w:p>
      <w:r>
        <w:br w:type="page"/>
      </w:r>
    </w:p>
    <w:p>
      <w:pPr>
        <w:shd w:fill="27AE60" w:val="clear"/>
        <w:spacing w:before="480" w:after="0"/>
        <w:ind w:left="0"/>
      </w:pPr>
      <w:r>
        <w:rPr>
          <w:rFonts w:ascii="Arial" w:cs="Arial" w:eastAsia="Arial" w:hAnsi="Arial"/>
          <w:b/>
          <w:bCs/>
          <w:color w:val="FFFFFF"/>
          <w:sz w:val="28"/>
          <w:szCs w:val="28"/>
        </w:rPr>
        <w:t xml:space="preserve">  #5  </w:t>
      </w:r>
      <w:r>
        <w:rPr>
          <w:rFonts w:ascii="Arial" w:cs="Arial" w:eastAsia="Arial" w:hAnsi="Arial"/>
          <w:b/>
          <w:bCs/>
          <w:color w:val="FFFFFF"/>
          <w:sz w:val="28"/>
          <w:szCs w:val="28"/>
        </w:rPr>
        <w:t xml:space="preserve">  Exploit Replay Mutation Engine</w:t>
      </w:r>
    </w:p>
    <w:p>
      <w:pPr>
        <w:shd w:fill="1A1A2E" w:val="clear"/>
        <w:spacing w:before="0" w:after="240"/>
      </w:pPr>
      <w:r>
        <w:rPr>
          <w:rFonts w:ascii="Arial" w:cs="Arial" w:eastAsia="Arial" w:hAnsi="Arial"/>
          <w:i/>
          <w:iCs/>
          <w:color w:val="FFFFFF"/>
          <w:sz w:val="20"/>
          <w:szCs w:val="20"/>
        </w:rPr>
        <w:t xml:space="preserve">  One Confirmed Bug at Maximum Impact Surface — Automatically</w:t>
      </w:r>
    </w:p>
    <w:p>
      <w:pPr>
        <w:pBdr>
          <w:left w:val="single" w:color="27AE60" w:sz="12" w:space="8"/>
        </w:pBdr>
        <w:spacing w:before="120" w:after="120"/>
        <w:ind w:left="360"/>
      </w:pPr>
      <w:r>
        <w:rPr>
          <w:rFonts w:ascii="Arial" w:cs="Arial" w:eastAsia="Arial" w:hAnsi="Arial"/>
          <w:b/>
          <w:bCs/>
          <w:color w:val="27AE60"/>
          <w:sz w:val="20"/>
          <w:szCs w:val="20"/>
        </w:rPr>
        <w:t xml:space="preserve">WHY IT MATTERS:  </w:t>
      </w:r>
      <w:r>
        <w:rPr>
          <w:rFonts w:ascii="Arial" w:cs="Arial" w:eastAsia="Arial" w:hAnsi="Arial"/>
          <w:color w:val="0D0D0D"/>
          <w:sz w:val="20"/>
          <w:szCs w:val="20"/>
        </w:rPr>
        <w:t xml:space="preserve">You confirmed an IDOR. You reported it. You left 90% of the impact on the table. This engine makes sure that never happens again.</w:t>
      </w:r>
    </w:p>
    <w:p>
      <w:pPr>
        <w:spacing w:before="120" w:after="0"/>
      </w:pPr>
      <w:r>
        <w:t xml:space="preserve"/>
      </w:r>
    </w:p>
    <w:p>
      <w:pPr>
        <w:pStyle w:val="Heading3"/>
        <w:spacing w:before="240" w:after="80"/>
      </w:pPr>
      <w:r>
        <w:rPr>
          <w:rFonts w:ascii="Arial" w:cs="Arial" w:eastAsia="Arial" w:hAnsi="Arial"/>
          <w:b/>
          <w:bCs/>
          <w:color w:val="1A1A2E"/>
          <w:sz w:val="24"/>
          <w:szCs w:val="24"/>
        </w:rPr>
        <w:t xml:space="preserve">The Problem With Stopping at Confirmation</w:t>
      </w:r>
    </w:p>
    <w:p>
      <w:pPr>
        <w:pStyle w:val="ListParagraph"/>
        <w:numPr>
          <w:ilvl w:val="0"/>
          <w:numId w:val="2"/>
        </w:numPr>
        <w:spacing w:before="60" w:after="60"/>
      </w:pPr>
      <w:r>
        <w:rPr>
          <w:rFonts w:ascii="Arial" w:cs="Arial" w:eastAsia="Arial" w:hAnsi="Arial"/>
          <w:b w:val="false"/>
          <w:bCs w:val="false"/>
          <w:color w:val="0D0D0D"/>
          <w:sz w:val="20"/>
          <w:szCs w:val="20"/>
        </w:rPr>
        <w:t xml:space="preserve">Most hunters confirm a bug and immediately write it up. This is the wrong move.</w:t>
      </w:r>
    </w:p>
    <w:p>
      <w:pPr>
        <w:pStyle w:val="ListParagraph"/>
        <w:numPr>
          <w:ilvl w:val="0"/>
          <w:numId w:val="2"/>
        </w:numPr>
        <w:spacing w:before="60" w:after="60"/>
      </w:pPr>
      <w:r>
        <w:rPr>
          <w:rFonts w:ascii="Arial" w:cs="Arial" w:eastAsia="Arial" w:hAnsi="Arial"/>
          <w:b w:val="false"/>
          <w:bCs w:val="false"/>
          <w:color w:val="0D0D0D"/>
          <w:sz w:val="20"/>
          <w:szCs w:val="20"/>
        </w:rPr>
        <w:t xml:space="preserve">A confirmed IDOR on GET doesn't mean you checked PUT, PATCH, DELETE. A confirmed read means you missed write access, which is 10x the severity.</w:t>
      </w:r>
    </w:p>
    <w:p>
      <w:pPr>
        <w:pStyle w:val="ListParagraph"/>
        <w:numPr>
          <w:ilvl w:val="0"/>
          <w:numId w:val="2"/>
        </w:numPr>
        <w:spacing w:before="60" w:after="60"/>
      </w:pPr>
      <w:r>
        <w:rPr>
          <w:rFonts w:ascii="Arial" w:cs="Arial" w:eastAsia="Arial" w:hAnsi="Arial"/>
          <w:b w:val="false"/>
          <w:bCs w:val="false"/>
          <w:color w:val="0D0D0D"/>
          <w:sz w:val="20"/>
          <w:szCs w:val="20"/>
        </w:rPr>
        <w:t xml:space="preserve">A confirmed exploit on one object type doesn't mean you checked all object types. The bug might affect user data, payment records, and admin configurations.</w:t>
      </w:r>
    </w:p>
    <w:p>
      <w:pPr>
        <w:pStyle w:val="ListParagraph"/>
        <w:numPr>
          <w:ilvl w:val="0"/>
          <w:numId w:val="2"/>
        </w:numPr>
        <w:spacing w:before="60" w:after="60"/>
      </w:pPr>
      <w:r>
        <w:rPr>
          <w:rFonts w:ascii="Arial" w:cs="Arial" w:eastAsia="Arial" w:hAnsi="Arial"/>
          <w:b w:val="false"/>
          <w:bCs w:val="false"/>
          <w:color w:val="0D0D0D"/>
          <w:sz w:val="20"/>
          <w:szCs w:val="20"/>
        </w:rPr>
        <w:t xml:space="preserve">Programs pay for impact. Stopping at 'I can read one order' is leaving $20,000 on the table.</w:t>
      </w:r>
    </w:p>
    <w:p>
      <w:pPr>
        <w:spacing w:before="80" w:after="0"/>
      </w:pPr>
      <w:r>
        <w:t xml:space="preserve"/>
      </w:r>
    </w:p>
    <w:p>
      <w:pPr>
        <w:pStyle w:val="Heading3"/>
        <w:spacing w:before="240" w:after="80"/>
      </w:pPr>
      <w:r>
        <w:rPr>
          <w:rFonts w:ascii="Arial" w:cs="Arial" w:eastAsia="Arial" w:hAnsi="Arial"/>
          <w:b/>
          <w:bCs/>
          <w:color w:val="1A1A2E"/>
          <w:sz w:val="24"/>
          <w:szCs w:val="24"/>
        </w:rPr>
        <w:t xml:space="preserve">The Mutation Strategy</w:t>
      </w:r>
    </w:p>
    <w:p>
      <w:pPr>
        <w:spacing w:before="80" w:after="80"/>
        <w:ind w:left="360"/>
      </w:pPr>
      <w:r>
        <w:rPr>
          <w:rFonts w:ascii="Arial" w:cs="Arial" w:eastAsia="Arial" w:hAnsi="Arial"/>
          <w:b/>
          <w:bCs/>
          <w:color w:val="27AE60"/>
          <w:sz w:val="20"/>
          <w:szCs w:val="20"/>
        </w:rPr>
        <w:t xml:space="preserve">1.  </w:t>
      </w:r>
      <w:r>
        <w:rPr>
          <w:rFonts w:ascii="Arial" w:cs="Arial" w:eastAsia="Arial" w:hAnsi="Arial"/>
          <w:b/>
          <w:bCs/>
          <w:color w:val="1A1A2E"/>
          <w:sz w:val="20"/>
          <w:szCs w:val="20"/>
        </w:rPr>
        <w:t xml:space="preserve">HTTP verb mutation</w:t>
      </w:r>
      <w:r>
        <w:rPr>
          <w:rFonts w:ascii="Arial" w:cs="Arial" w:eastAsia="Arial" w:hAnsi="Arial"/>
          <w:color w:val="0D0D0D"/>
          <w:sz w:val="20"/>
          <w:szCs w:val="20"/>
        </w:rPr>
        <w:t xml:space="preserve">  —  GET IDOR confirmed → automatically test PUT (modify), DELETE (destroy), PATCH (partial modify)</w:t>
      </w:r>
    </w:p>
    <w:p>
      <w:pPr>
        <w:spacing w:before="80" w:after="80"/>
        <w:ind w:left="360"/>
      </w:pPr>
      <w:r>
        <w:rPr>
          <w:rFonts w:ascii="Arial" w:cs="Arial" w:eastAsia="Arial" w:hAnsi="Arial"/>
          <w:b/>
          <w:bCs/>
          <w:color w:val="27AE60"/>
          <w:sz w:val="20"/>
          <w:szCs w:val="20"/>
        </w:rPr>
        <w:t xml:space="preserve">2.  </w:t>
      </w:r>
      <w:r>
        <w:rPr>
          <w:rFonts w:ascii="Arial" w:cs="Arial" w:eastAsia="Arial" w:hAnsi="Arial"/>
          <w:b/>
          <w:bCs/>
          <w:color w:val="1A1A2E"/>
          <w:sz w:val="20"/>
          <w:szCs w:val="20"/>
        </w:rPr>
        <w:t xml:space="preserve">Object type mutation</w:t>
      </w:r>
      <w:r>
        <w:rPr>
          <w:rFonts w:ascii="Arial" w:cs="Arial" w:eastAsia="Arial" w:hAnsi="Arial"/>
          <w:color w:val="0D0D0D"/>
          <w:sz w:val="20"/>
          <w:szCs w:val="20"/>
        </w:rPr>
        <w:t xml:space="preserve">  —  IDOR on orders → automatically test invoices, reports, users, messages, admin records</w:t>
      </w:r>
    </w:p>
    <w:p>
      <w:pPr>
        <w:spacing w:before="80" w:after="80"/>
        <w:ind w:left="360"/>
      </w:pPr>
      <w:r>
        <w:rPr>
          <w:rFonts w:ascii="Arial" w:cs="Arial" w:eastAsia="Arial" w:hAnsi="Arial"/>
          <w:b/>
          <w:bCs/>
          <w:color w:val="27AE60"/>
          <w:sz w:val="20"/>
          <w:szCs w:val="20"/>
        </w:rPr>
        <w:t xml:space="preserve">3.  </w:t>
      </w:r>
      <w:r>
        <w:rPr>
          <w:rFonts w:ascii="Arial" w:cs="Arial" w:eastAsia="Arial" w:hAnsi="Arial"/>
          <w:b/>
          <w:bCs/>
          <w:color w:val="1A1A2E"/>
          <w:sz w:val="20"/>
          <w:szCs w:val="20"/>
        </w:rPr>
        <w:t xml:space="preserve">Privilege target escalation</w:t>
      </w:r>
      <w:r>
        <w:rPr>
          <w:rFonts w:ascii="Arial" w:cs="Arial" w:eastAsia="Arial" w:hAnsi="Arial"/>
          <w:color w:val="0D0D0D"/>
          <w:sz w:val="20"/>
          <w:szCs w:val="20"/>
        </w:rPr>
        <w:t xml:space="preserve">  —  user→admin→superadmin: walk the privilege chain automatically</w:t>
      </w:r>
    </w:p>
    <w:p>
      <w:pPr>
        <w:spacing w:before="80" w:after="80"/>
        <w:ind w:left="360"/>
      </w:pPr>
      <w:r>
        <w:rPr>
          <w:rFonts w:ascii="Arial" w:cs="Arial" w:eastAsia="Arial" w:hAnsi="Arial"/>
          <w:b/>
          <w:bCs/>
          <w:color w:val="27AE60"/>
          <w:sz w:val="20"/>
          <w:szCs w:val="20"/>
        </w:rPr>
        <w:t xml:space="preserve">4.  </w:t>
      </w:r>
      <w:r>
        <w:rPr>
          <w:rFonts w:ascii="Arial" w:cs="Arial" w:eastAsia="Arial" w:hAnsi="Arial"/>
          <w:b/>
          <w:bCs/>
          <w:color w:val="1A1A2E"/>
          <w:sz w:val="20"/>
          <w:szCs w:val="20"/>
        </w:rPr>
        <w:t xml:space="preserve">WAF bypass encoding</w:t>
      </w:r>
      <w:r>
        <w:rPr>
          <w:rFonts w:ascii="Arial" w:cs="Arial" w:eastAsia="Arial" w:hAnsi="Arial"/>
          <w:color w:val="0D0D0D"/>
          <w:sz w:val="20"/>
          <w:szCs w:val="20"/>
        </w:rPr>
        <w:t xml:space="preserve">  —  confirmed exploit → generate 12 encoded variants to prove WAF is not an effective mitigation</w:t>
      </w:r>
    </w:p>
    <w:p>
      <w:pPr>
        <w:spacing w:before="80" w:after="80"/>
        <w:ind w:left="360"/>
      </w:pPr>
      <w:r>
        <w:rPr>
          <w:rFonts w:ascii="Arial" w:cs="Arial" w:eastAsia="Arial" w:hAnsi="Arial"/>
          <w:b/>
          <w:bCs/>
          <w:color w:val="27AE60"/>
          <w:sz w:val="20"/>
          <w:szCs w:val="20"/>
        </w:rPr>
        <w:t xml:space="preserve">5.  </w:t>
      </w:r>
      <w:r>
        <w:rPr>
          <w:rFonts w:ascii="Arial" w:cs="Arial" w:eastAsia="Arial" w:hAnsi="Arial"/>
          <w:b/>
          <w:bCs/>
          <w:color w:val="1A1A2E"/>
          <w:sz w:val="20"/>
          <w:szCs w:val="20"/>
        </w:rPr>
        <w:t xml:space="preserve">Scope expansion</w:t>
      </w:r>
      <w:r>
        <w:rPr>
          <w:rFonts w:ascii="Arial" w:cs="Arial" w:eastAsia="Arial" w:hAnsi="Arial"/>
          <w:color w:val="0D0D0D"/>
          <w:sz w:val="20"/>
          <w:szCs w:val="20"/>
        </w:rPr>
        <w:t xml:space="preserve">  —  test confirmed exploit across v1/v2/v3 endpoints and mobile API endpoints</w:t>
      </w:r>
    </w:p>
    <w:p>
      <w:pPr>
        <w:spacing w:before="80" w:after="0"/>
      </w:pPr>
      <w:r>
        <w:t xml:space="preserve"/>
      </w:r>
    </w:p>
    <w:p>
      <w:pPr>
        <w:pStyle w:val="Heading3"/>
        <w:spacing w:before="240" w:after="80"/>
      </w:pPr>
      <w:r>
        <w:rPr>
          <w:rFonts w:ascii="Arial" w:cs="Arial" w:eastAsia="Arial" w:hAnsi="Arial"/>
          <w:b/>
          <w:bCs/>
          <w:color w:val="1A1A2E"/>
          <w:sz w:val="24"/>
          <w:szCs w:val="24"/>
        </w:rPr>
        <w:t xml:space="preserve">The Severity Upgrade Math</w:t>
      </w:r>
    </w:p>
    <w:p>
      <w:pPr>
        <w:pStyle w:val="ListParagraph"/>
        <w:numPr>
          <w:ilvl w:val="0"/>
          <w:numId w:val="2"/>
        </w:numPr>
        <w:spacing w:before="60" w:after="60"/>
      </w:pPr>
      <w:r>
        <w:rPr>
          <w:rFonts w:ascii="Arial" w:cs="Arial" w:eastAsia="Arial" w:hAnsi="Arial"/>
          <w:b w:val="false"/>
          <w:bCs w:val="false"/>
          <w:color w:val="0D0D0D"/>
          <w:sz w:val="20"/>
          <w:szCs w:val="20"/>
        </w:rPr>
        <w:t xml:space="preserve">GET IDOR on orders: P3, $500</w:t>
      </w:r>
    </w:p>
    <w:p>
      <w:pPr>
        <w:pStyle w:val="ListParagraph"/>
        <w:numPr>
          <w:ilvl w:val="0"/>
          <w:numId w:val="2"/>
        </w:numPr>
        <w:spacing w:before="60" w:after="60"/>
      </w:pPr>
      <w:r>
        <w:rPr>
          <w:rFonts w:ascii="Arial" w:cs="Arial" w:eastAsia="Arial" w:hAnsi="Arial"/>
          <w:b w:val="false"/>
          <w:bCs w:val="false"/>
          <w:color w:val="0D0D0D"/>
          <w:sz w:val="20"/>
          <w:szCs w:val="20"/>
        </w:rPr>
        <w:t xml:space="preserve">+ DELETE IDOR confirmed: P2, $2,000</w:t>
      </w:r>
    </w:p>
    <w:p>
      <w:pPr>
        <w:pStyle w:val="ListParagraph"/>
        <w:numPr>
          <w:ilvl w:val="0"/>
          <w:numId w:val="2"/>
        </w:numPr>
        <w:spacing w:before="60" w:after="60"/>
      </w:pPr>
      <w:r>
        <w:rPr>
          <w:rFonts w:ascii="Arial" w:cs="Arial" w:eastAsia="Arial" w:hAnsi="Arial"/>
          <w:b w:val="false"/>
          <w:bCs w:val="false"/>
          <w:color w:val="0D0D0D"/>
          <w:sz w:val="20"/>
          <w:szCs w:val="20"/>
        </w:rPr>
        <w:t xml:space="preserve">+ admin record access confirmed: P1, $10,000</w:t>
      </w:r>
    </w:p>
    <w:p>
      <w:pPr>
        <w:pStyle w:val="ListParagraph"/>
        <w:numPr>
          <w:ilvl w:val="0"/>
          <w:numId w:val="2"/>
        </w:numPr>
        <w:spacing w:before="60" w:after="60"/>
      </w:pPr>
      <w:r>
        <w:rPr>
          <w:rFonts w:ascii="Arial" w:cs="Arial" w:eastAsia="Arial" w:hAnsi="Arial"/>
          <w:b w:val="false"/>
          <w:bCs w:val="false"/>
          <w:color w:val="0D0D0D"/>
          <w:sz w:val="20"/>
          <w:szCs w:val="20"/>
        </w:rPr>
        <w:t xml:space="preserve">+ systemic across all object types: P1 Critical, $20,000+</w:t>
      </w:r>
    </w:p>
    <w:p>
      <w:pPr>
        <w:pStyle w:val="ListParagraph"/>
        <w:numPr>
          <w:ilvl w:val="0"/>
          <w:numId w:val="2"/>
        </w:numPr>
        <w:spacing w:before="60" w:after="60"/>
      </w:pPr>
      <w:r>
        <w:rPr>
          <w:rFonts w:ascii="Arial" w:cs="Arial" w:eastAsia="Arial" w:hAnsi="Arial"/>
          <w:b w:val="false"/>
          <w:bCs w:val="false"/>
          <w:color w:val="0D0D0D"/>
          <w:sz w:val="20"/>
          <w:szCs w:val="20"/>
        </w:rPr>
        <w:t xml:space="preserve">The Replay Engine runs all of this automatically within minutes of the original confirmation.</w:t>
      </w:r>
    </w:p>
    <w:p>
      <w:pPr>
        <w:spacing w:before="80" w:after="0"/>
      </w:pPr>
      <w:r>
        <w:t xml:space="preserve"/>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W w:type="dxa" w:w="308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Without Sentinel</w:t>
            </w:r>
          </w:p>
        </w:tc>
        <w:tc>
          <w:tcPr>
            <w:tcW w:type="dxa" w:w="3080"/>
            <w:tcBorders>
              <w:top w:val="single" w:color="CCCCCC" w:sz="1"/>
              <w:left w:val="single" w:color="CCCCCC" w:sz="1"/>
              <w:bottom w:val="single" w:color="CCCCCC" w:sz="1"/>
              <w:right w:val="single" w:color="CCCCCC" w:sz="1"/>
            </w:tcBorders>
            <w:shd w:fill="0D1117" w:val="clear"/>
            <w:tcMar>
              <w:top w:type="dxa" w:w="100"/>
              <w:left w:type="dxa" w:w="160"/>
              <w:bottom w:type="dxa" w:w="100"/>
              <w:right w:type="dxa" w:w="160"/>
            </w:tcMar>
          </w:tcPr>
          <w:p>
            <w:r>
              <w:rPr>
                <w:rFonts w:ascii="Arial" w:cs="Arial" w:eastAsia="Arial" w:hAnsi="Arial"/>
                <w:b/>
                <w:bCs/>
                <w:color w:val="FFFFFF"/>
                <w:sz w:val="20"/>
                <w:szCs w:val="20"/>
              </w:rPr>
              <w:t xml:space="preserve">With Sentinel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D0D0D"/>
                <w:sz w:val="18"/>
                <w:szCs w:val="18"/>
              </w:rPr>
              <w:t xml:space="preserve">GET IDOR on user orders</w:t>
            </w:r>
          </w:p>
        </w:tc>
        <w:tc>
          <w:tcPr>
            <w:tcW w:type="dxa" w:w="3080"/>
            <w:tcBorders>
              <w:top w:val="single" w:color="CCCCCC" w:sz="1"/>
              <w:left w:val="single" w:color="CCCCCC" w:sz="1"/>
              <w:bottom w:val="single" w:color="CCCCCC" w:sz="1"/>
              <w:right w:val="single" w:color="CCCCCC" w:sz="1"/>
            </w:tcBorders>
            <w:shd w:fill="FDF2F2" w:val="clear"/>
            <w:tcMar>
              <w:top w:type="dxa" w:w="80"/>
              <w:left w:type="dxa" w:w="160"/>
              <w:bottom w:type="dxa" w:w="80"/>
              <w:right w:type="dxa" w:w="160"/>
            </w:tcMar>
          </w:tcPr>
          <w:p>
            <w:r>
              <w:rPr>
                <w:rFonts w:ascii="Arial" w:cs="Arial" w:eastAsia="Arial" w:hAnsi="Arial"/>
                <w:color w:val="0D0D0D"/>
                <w:sz w:val="18"/>
                <w:szCs w:val="18"/>
              </w:rPr>
              <w:t xml:space="preserve">$500 P3 — read one order</w:t>
            </w:r>
          </w:p>
        </w:tc>
        <w:tc>
          <w:tcPr>
            <w:tcW w:type="dxa" w:w="30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0D0D0D"/>
                <w:sz w:val="18"/>
                <w:szCs w:val="18"/>
              </w:rPr>
              <w:t xml:space="preserve">$15,000 P1 — DELETE any user's orders, affects all object types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D0D0D"/>
                <w:sz w:val="18"/>
                <w:szCs w:val="18"/>
              </w:rPr>
              <w:t xml:space="preserve">Auth bypass on one endpoint</w:t>
            </w:r>
          </w:p>
        </w:tc>
        <w:tc>
          <w:tcPr>
            <w:tcW w:type="dxa" w:w="3080"/>
            <w:tcBorders>
              <w:top w:val="single" w:color="CCCCCC" w:sz="1"/>
              <w:left w:val="single" w:color="CCCCCC" w:sz="1"/>
              <w:bottom w:val="single" w:color="CCCCCC" w:sz="1"/>
              <w:right w:val="single" w:color="CCCCCC" w:sz="1"/>
            </w:tcBorders>
            <w:shd w:fill="FEF9F9" w:val="clear"/>
            <w:tcMar>
              <w:top w:type="dxa" w:w="80"/>
              <w:left w:type="dxa" w:w="160"/>
              <w:bottom w:type="dxa" w:w="80"/>
              <w:right w:type="dxa" w:w="160"/>
            </w:tcMar>
          </w:tcPr>
          <w:p>
            <w:r>
              <w:rPr>
                <w:rFonts w:ascii="Arial" w:cs="Arial" w:eastAsia="Arial" w:hAnsi="Arial"/>
                <w:color w:val="0D0D0D"/>
                <w:sz w:val="18"/>
                <w:szCs w:val="18"/>
              </w:rPr>
              <w:t xml:space="preserve">$2,000 P2 — read access</w:t>
            </w:r>
          </w:p>
        </w:tc>
        <w:tc>
          <w:tcPr>
            <w:tcW w:type="dxa" w:w="3080"/>
            <w:tcBorders>
              <w:top w:val="single" w:color="CCCCCC" w:sz="1"/>
              <w:left w:val="single" w:color="CCCCCC" w:sz="1"/>
              <w:bottom w:val="single" w:color="CCCCCC" w:sz="1"/>
              <w:right w:val="single" w:color="CCCCCC" w:sz="1"/>
            </w:tcBorders>
            <w:shd w:fill="F8FFFA" w:val="clear"/>
            <w:tcMar>
              <w:top w:type="dxa" w:w="80"/>
              <w:left w:type="dxa" w:w="160"/>
              <w:bottom w:type="dxa" w:w="80"/>
              <w:right w:type="dxa" w:w="160"/>
            </w:tcMar>
          </w:tcPr>
          <w:p>
            <w:r>
              <w:rPr>
                <w:rFonts w:ascii="Arial" w:cs="Arial" w:eastAsia="Arial" w:hAnsi="Arial"/>
                <w:color w:val="0D0D0D"/>
                <w:sz w:val="18"/>
                <w:szCs w:val="18"/>
              </w:rPr>
              <w:t xml:space="preserve">$12,000 P1 — write/delete access confirmed, WAF bypass proven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D0D0D"/>
                <w:sz w:val="18"/>
                <w:szCs w:val="18"/>
              </w:rPr>
              <w:t xml:space="preserve">SSRF on one parameter</w:t>
            </w:r>
          </w:p>
        </w:tc>
        <w:tc>
          <w:tcPr>
            <w:tcW w:type="dxa" w:w="3080"/>
            <w:tcBorders>
              <w:top w:val="single" w:color="CCCCCC" w:sz="1"/>
              <w:left w:val="single" w:color="CCCCCC" w:sz="1"/>
              <w:bottom w:val="single" w:color="CCCCCC" w:sz="1"/>
              <w:right w:val="single" w:color="CCCCCC" w:sz="1"/>
            </w:tcBorders>
            <w:shd w:fill="FDF2F2" w:val="clear"/>
            <w:tcMar>
              <w:top w:type="dxa" w:w="80"/>
              <w:left w:type="dxa" w:w="160"/>
              <w:bottom w:type="dxa" w:w="80"/>
              <w:right w:type="dxa" w:w="160"/>
            </w:tcMar>
          </w:tcPr>
          <w:p>
            <w:r>
              <w:rPr>
                <w:rFonts w:ascii="Arial" w:cs="Arial" w:eastAsia="Arial" w:hAnsi="Arial"/>
                <w:color w:val="0D0D0D"/>
                <w:sz w:val="18"/>
                <w:szCs w:val="18"/>
              </w:rPr>
              <w:t xml:space="preserve">$3,000 — basic SSRF</w:t>
            </w:r>
          </w:p>
        </w:tc>
        <w:tc>
          <w:tcPr>
            <w:tcW w:type="dxa" w:w="30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0D0D0D"/>
                <w:sz w:val="18"/>
                <w:szCs w:val="18"/>
              </w:rPr>
              <w:t xml:space="preserve">$18,000 — cloud metadata exfiltration, internal network pivot confirmed</w:t>
            </w:r>
          </w:p>
        </w:tc>
      </w:tr>
    </w:tbl>
    <w:p>
      <w:pPr>
        <w:spacing w:before="480" w:after="0"/>
      </w:pPr>
      <w:r>
        <w:t xml:space="preserve"/>
      </w:r>
    </w:p>
    <w:p>
      <w:r>
        <w:br w:type="page"/>
      </w:r>
    </w:p>
    <w:p>
      <w:pPr>
        <w:pStyle w:val="Heading1"/>
        <w:shd w:fill="1A1A2E" w:val="clear"/>
        <w:spacing w:before="480" w:after="240"/>
      </w:pPr>
      <w:r>
        <w:rPr>
          <w:rFonts w:ascii="Arial" w:cs="Arial" w:eastAsia="Arial" w:hAnsi="Arial"/>
          <w:b/>
          <w:bCs/>
          <w:color w:val="FFFFFF"/>
          <w:sz w:val="40"/>
          <w:szCs w:val="40"/>
        </w:rPr>
        <w:t xml:space="preserve">  Implementation Roadmap</w:t>
      </w:r>
    </w:p>
    <w:p>
      <w:pPr>
        <w:spacing w:before="120" w:after="0"/>
      </w:pPr>
      <w:r>
        <w:t xml:space="preserve"/>
      </w:r>
    </w:p>
    <w:p>
      <w:pPr>
        <w:spacing w:before="80" w:after="80"/>
      </w:pPr>
      <w:r>
        <w:rPr>
          <w:rFonts w:ascii="Arial" w:cs="Arial" w:eastAsia="Arial" w:hAnsi="Arial"/>
          <w:color w:val="0D0D0D"/>
          <w:sz w:val="20"/>
          <w:szCs w:val="20"/>
        </w:rPr>
        <w:t xml:space="preserve">Features are ordered by priority. Start with #1 and #3 — they deliver the highest ROI with the least architectural complexity. Feature #2 (ASM) is the biggest lift but the highest ceiling.</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1800"/>
        <w:gridCol w:w="1560"/>
      </w:tblGrid>
      <w:tr>
        <w:tc>
          <w:tcPr>
            <w:tcW w:type="dxa" w:w="12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Complexity</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Est. Weeks</w:t>
            </w:r>
          </w:p>
        </w:tc>
        <w:tc>
          <w:tcPr>
            <w:tcW w:type="dxa" w:w="15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Core Module</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D0D0D"/>
                <w:sz w:val="17"/>
                <w:szCs w:val="17"/>
              </w:rPr>
              <w:t xml:space="preserve">P0 — Build First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0D0D"/>
                <w:sz w:val="17"/>
                <w:szCs w:val="17"/>
              </w:rPr>
              <w:t xml:space="preserve">Temporal State Attack Sequencer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0D0D"/>
                <w:sz w:val="17"/>
                <w:szCs w:val="17"/>
              </w:rPr>
              <w:t xml:space="preserve">High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0D0D"/>
                <w:sz w:val="17"/>
                <w:szCs w:val="17"/>
              </w:rPr>
              <w:t xml:space="preserve">3 weeks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0D0D"/>
                <w:sz w:val="17"/>
                <w:szCs w:val="17"/>
              </w:rPr>
              <w:t xml:space="preserve">core/wraith/race/</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D0D0D"/>
                <w:sz w:val="17"/>
                <w:szCs w:val="17"/>
              </w:rPr>
              <w:t xml:space="preserve">P0 — Build First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17"/>
                <w:szCs w:val="17"/>
              </w:rPr>
              <w:t xml:space="preserve">Behavioral Equivalence Chains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17"/>
                <w:szCs w:val="17"/>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17"/>
                <w:szCs w:val="17"/>
              </w:rPr>
              <w:t xml:space="preserve">2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17"/>
                <w:szCs w:val="17"/>
              </w:rPr>
              <w:t xml:space="preserve">core/wraith/equiv/</w:t>
            </w:r>
          </w:p>
        </w:tc>
      </w:tr>
      <w:tr>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color w:val="0D0D0D"/>
                <w:sz w:val="17"/>
                <w:szCs w:val="17"/>
              </w:rPr>
              <w:t xml:space="preserve">P1 — Build Next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0D0D"/>
                <w:sz w:val="17"/>
                <w:szCs w:val="17"/>
              </w:rPr>
              <w:t xml:space="preserve">Trust Boundary Inference Engine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0D0D"/>
                <w:sz w:val="17"/>
                <w:szCs w:val="17"/>
              </w:rPr>
              <w:t xml:space="preserve">High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0D0D"/>
                <w:sz w:val="17"/>
                <w:szCs w:val="17"/>
              </w:rPr>
              <w:t xml:space="preserve">3 weeks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0D0D"/>
                <w:sz w:val="17"/>
                <w:szCs w:val="17"/>
              </w:rPr>
              <w:t xml:space="preserve">core/wraith/trust/</w:t>
            </w:r>
          </w:p>
        </w:tc>
      </w:tr>
      <w:tr>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color w:val="0D0D0D"/>
                <w:sz w:val="17"/>
                <w:szCs w:val="17"/>
              </w:rPr>
              <w:t xml:space="preserve">P1 — Build Next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17"/>
                <w:szCs w:val="17"/>
              </w:rPr>
              <w:t xml:space="preserve">Exploit Replay Mutation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17"/>
                <w:szCs w:val="17"/>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17"/>
                <w:szCs w:val="17"/>
              </w:rPr>
              <w:t xml:space="preserve">2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17"/>
                <w:szCs w:val="17"/>
              </w:rPr>
              <w:t xml:space="preserve">core/wraith/replay/</w:t>
            </w:r>
          </w:p>
        </w:tc>
      </w:tr>
      <w:tr>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D0D0D"/>
                <w:sz w:val="17"/>
                <w:szCs w:val="17"/>
              </w:rPr>
              <w:t xml:space="preserve">P2 — Big Swing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0D0D"/>
                <w:sz w:val="17"/>
                <w:szCs w:val="17"/>
              </w:rPr>
              <w:t xml:space="preserve">Application Semantic Model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0D0D"/>
                <w:sz w:val="17"/>
                <w:szCs w:val="17"/>
              </w:rPr>
              <w:t xml:space="preserve">Very High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0D0D"/>
                <w:sz w:val="17"/>
                <w:szCs w:val="17"/>
              </w:rPr>
              <w:t xml:space="preserve">4 weeks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0D0D"/>
                <w:sz w:val="17"/>
                <w:szCs w:val="17"/>
              </w:rPr>
              <w:t xml:space="preserve">core/sentinel/asm/</w:t>
            </w:r>
          </w:p>
        </w:tc>
      </w:tr>
    </w:tbl>
    <w:p>
      <w:pPr>
        <w:spacing w:before="480" w:after="0"/>
      </w:pPr>
      <w:r>
        <w:t xml:space="preserve"/>
      </w:r>
    </w:p>
    <w:p>
      <w:pPr>
        <w:pStyle w:val="Heading2"/>
        <w:pBdr>
          <w:bottom w:val="single" w:color="E94560" w:sz="4" w:space="4"/>
        </w:pBdr>
        <w:spacing w:before="360" w:after="120"/>
      </w:pPr>
      <w:r>
        <w:rPr>
          <w:rFonts w:ascii="Arial" w:cs="Arial" w:eastAsia="Arial" w:hAnsi="Arial"/>
          <w:b/>
          <w:bCs/>
          <w:color w:val="1A1A2E"/>
          <w:sz w:val="32"/>
          <w:szCs w:val="32"/>
        </w:rPr>
        <w:t xml:space="preserve">Suggested Build Order</w:t>
      </w:r>
    </w:p>
    <w:p>
      <w:pPr>
        <w:spacing w:before="120" w:after="0"/>
      </w:pPr>
      <w:r>
        <w:t xml:space="preserve"/>
      </w:r>
    </w:p>
    <w:p>
      <w:pPr>
        <w:spacing w:before="80" w:after="80"/>
      </w:pPr>
      <w:r>
        <w:rPr>
          <w:rFonts w:ascii="Arial" w:cs="Arial" w:eastAsia="Arial" w:hAnsi="Arial"/>
          <w:color w:val="0D0D0D"/>
          <w:sz w:val="20"/>
          <w:szCs w:val="20"/>
        </w:rPr>
        <w:t xml:space="preserve">Start here. In order.</w:t>
      </w:r>
    </w:p>
    <w:p>
      <w:pPr>
        <w:spacing w:before="120" w:after="0"/>
      </w:pPr>
      <w:r>
        <w:t xml:space="preserve"/>
      </w:r>
    </w:p>
    <w:p>
      <w:pPr>
        <w:pBdr>
          <w:left w:val="single" w:color="E94560" w:sz="8" w:space="8"/>
        </w:pBdr>
        <w:spacing w:before="120" w:after="120"/>
        <w:ind w:left="360"/>
      </w:pPr>
      <w:r>
        <w:rPr>
          <w:rFonts w:ascii="Arial" w:cs="Arial" w:eastAsia="Arial" w:hAnsi="Arial"/>
          <w:b/>
          <w:bCs/>
          <w:color w:val="E94560"/>
          <w:sz w:val="20"/>
          <w:szCs w:val="20"/>
        </w:rPr>
        <w:t xml:space="preserve">Week 1–2  </w:t>
      </w:r>
      <w:r>
        <w:rPr>
          <w:rFonts w:ascii="Arial" w:cs="Arial" w:eastAsia="Arial" w:hAnsi="Arial"/>
          <w:b/>
          <w:bCs/>
          <w:color w:val="1A1A2E"/>
          <w:sz w:val="20"/>
          <w:szCs w:val="20"/>
        </w:rPr>
        <w:t xml:space="preserve">Behavioral Equivalence Chains  —  </w:t>
      </w:r>
      <w:r>
        <w:rPr>
          <w:rFonts w:ascii="Arial" w:cs="Arial" w:eastAsia="Arial" w:hAnsi="Arial"/>
          <w:color w:val="0D0D0D"/>
          <w:sz w:val="20"/>
          <w:szCs w:val="20"/>
        </w:rPr>
        <w:t xml:space="preserve">Lowest complexity, immediate ROI. Every confirmed finding from day one gets auto-expanded. Ships fast, pays off immediately.</w:t>
      </w:r>
    </w:p>
    <w:p>
      <w:pPr>
        <w:pBdr>
          <w:left w:val="single" w:color="E94560" w:sz="8" w:space="8"/>
        </w:pBdr>
        <w:spacing w:before="120" w:after="120"/>
        <w:ind w:left="360"/>
      </w:pPr>
      <w:r>
        <w:rPr>
          <w:rFonts w:ascii="Arial" w:cs="Arial" w:eastAsia="Arial" w:hAnsi="Arial"/>
          <w:b/>
          <w:bCs/>
          <w:color w:val="E94560"/>
          <w:sz w:val="20"/>
          <w:szCs w:val="20"/>
        </w:rPr>
        <w:t xml:space="preserve">Week 3–5  </w:t>
      </w:r>
      <w:r>
        <w:rPr>
          <w:rFonts w:ascii="Arial" w:cs="Arial" w:eastAsia="Arial" w:hAnsi="Arial"/>
          <w:b/>
          <w:bCs/>
          <w:color w:val="1A1A2E"/>
          <w:sz w:val="20"/>
          <w:szCs w:val="20"/>
        </w:rPr>
        <w:t xml:space="preserve">Temporal State Attack Sequencer  —  </w:t>
      </w:r>
      <w:r>
        <w:rPr>
          <w:rFonts w:ascii="Arial" w:cs="Arial" w:eastAsia="Arial" w:hAnsi="Arial"/>
          <w:color w:val="0D0D0D"/>
          <w:sz w:val="20"/>
          <w:szCs w:val="20"/>
        </w:rPr>
        <w:t xml:space="preserve">Biggest single-feature payout potential. Fintech and gaming programs alone justify the entire development effort.</w:t>
      </w:r>
    </w:p>
    <w:p>
      <w:pPr>
        <w:pBdr>
          <w:left w:val="single" w:color="E94560" w:sz="8" w:space="8"/>
        </w:pBdr>
        <w:spacing w:before="120" w:after="120"/>
        <w:ind w:left="360"/>
      </w:pPr>
      <w:r>
        <w:rPr>
          <w:rFonts w:ascii="Arial" w:cs="Arial" w:eastAsia="Arial" w:hAnsi="Arial"/>
          <w:b/>
          <w:bCs/>
          <w:color w:val="E94560"/>
          <w:sz w:val="20"/>
          <w:szCs w:val="20"/>
        </w:rPr>
        <w:t xml:space="preserve">Week 6–8  </w:t>
      </w:r>
      <w:r>
        <w:rPr>
          <w:rFonts w:ascii="Arial" w:cs="Arial" w:eastAsia="Arial" w:hAnsi="Arial"/>
          <w:b/>
          <w:bCs/>
          <w:color w:val="1A1A2E"/>
          <w:sz w:val="20"/>
          <w:szCs w:val="20"/>
        </w:rPr>
        <w:t xml:space="preserve">Trust Boundary Inference Engine  —  </w:t>
      </w:r>
      <w:r>
        <w:rPr>
          <w:rFonts w:ascii="Arial" w:cs="Arial" w:eastAsia="Arial" w:hAnsi="Arial"/>
          <w:color w:val="0D0D0D"/>
          <w:sz w:val="20"/>
          <w:szCs w:val="20"/>
        </w:rPr>
        <w:t xml:space="preserve">Systematizes what the best manual hunters do by instinct. High signal-to-noise, generates genuinely novel findings.</w:t>
      </w:r>
    </w:p>
    <w:p>
      <w:pPr>
        <w:pBdr>
          <w:left w:val="single" w:color="E94560" w:sz="8" w:space="8"/>
        </w:pBdr>
        <w:spacing w:before="120" w:after="120"/>
        <w:ind w:left="360"/>
      </w:pPr>
      <w:r>
        <w:rPr>
          <w:rFonts w:ascii="Arial" w:cs="Arial" w:eastAsia="Arial" w:hAnsi="Arial"/>
          <w:b/>
          <w:bCs/>
          <w:color w:val="E94560"/>
          <w:sz w:val="20"/>
          <w:szCs w:val="20"/>
        </w:rPr>
        <w:t xml:space="preserve">Week 9–10  </w:t>
      </w:r>
      <w:r>
        <w:rPr>
          <w:rFonts w:ascii="Arial" w:cs="Arial" w:eastAsia="Arial" w:hAnsi="Arial"/>
          <w:b/>
          <w:bCs/>
          <w:color w:val="1A1A2E"/>
          <w:sz w:val="20"/>
          <w:szCs w:val="20"/>
        </w:rPr>
        <w:t xml:space="preserve">Exploit Replay Mutation Engine  —  </w:t>
      </w:r>
      <w:r>
        <w:rPr>
          <w:rFonts w:ascii="Arial" w:cs="Arial" w:eastAsia="Arial" w:hAnsi="Arial"/>
          <w:color w:val="0D0D0D"/>
          <w:sz w:val="20"/>
          <w:szCs w:val="20"/>
        </w:rPr>
        <w:t xml:space="preserve">Amplifier for everything above. Every finding from weeks 1–8 gets automatically expanded to max impact surface.</w:t>
      </w:r>
    </w:p>
    <w:p>
      <w:pPr>
        <w:pBdr>
          <w:left w:val="single" w:color="E94560" w:sz="8" w:space="8"/>
        </w:pBdr>
        <w:spacing w:before="120" w:after="120"/>
        <w:ind w:left="360"/>
      </w:pPr>
      <w:r>
        <w:rPr>
          <w:rFonts w:ascii="Arial" w:cs="Arial" w:eastAsia="Arial" w:hAnsi="Arial"/>
          <w:b/>
          <w:bCs/>
          <w:color w:val="E94560"/>
          <w:sz w:val="20"/>
          <w:szCs w:val="20"/>
        </w:rPr>
        <w:t xml:space="preserve">Week 11–14  </w:t>
      </w:r>
      <w:r>
        <w:rPr>
          <w:rFonts w:ascii="Arial" w:cs="Arial" w:eastAsia="Arial" w:hAnsi="Arial"/>
          <w:b/>
          <w:bCs/>
          <w:color w:val="1A1A2E"/>
          <w:sz w:val="20"/>
          <w:szCs w:val="20"/>
        </w:rPr>
        <w:t xml:space="preserve">Application Semantic Model  —  </w:t>
      </w:r>
      <w:r>
        <w:rPr>
          <w:rFonts w:ascii="Arial" w:cs="Arial" w:eastAsia="Arial" w:hAnsi="Arial"/>
          <w:color w:val="0D0D0D"/>
          <w:sz w:val="20"/>
          <w:szCs w:val="20"/>
        </w:rPr>
        <w:t xml:space="preserve">The moonshot. Takes the longest, requires the most architecture, but is the only feature that can find business logic flaws that literally no other tool can detect.</w:t>
      </w:r>
    </w:p>
    <w:p>
      <w:pPr>
        <w:spacing w:before="480" w:after="0"/>
      </w:pPr>
      <w:r>
        <w:t xml:space="preserve"/>
      </w:r>
    </w:p>
    <w:p>
      <w:r>
        <w:br w:type="page"/>
      </w:r>
    </w:p>
    <w:p>
      <w:pPr>
        <w:pStyle w:val="Heading1"/>
        <w:shd w:fill="1A1A2E" w:val="clear"/>
        <w:spacing w:before="480" w:after="240"/>
      </w:pPr>
      <w:r>
        <w:rPr>
          <w:rFonts w:ascii="Arial" w:cs="Arial" w:eastAsia="Arial" w:hAnsi="Arial"/>
          <w:b/>
          <w:bCs/>
          <w:color w:val="FFFFFF"/>
          <w:sz w:val="40"/>
          <w:szCs w:val="40"/>
        </w:rPr>
        <w:t xml:space="preserve">  The Competitive Moat</w:t>
      </w:r>
    </w:p>
    <w:p>
      <w:pPr>
        <w:spacing w:before="240" w:after="0"/>
      </w:pPr>
      <w:r>
        <w:t xml:space="preserve"/>
      </w:r>
    </w:p>
    <w:p>
      <w:pPr>
        <w:spacing w:before="120" w:after="240"/>
      </w:pPr>
      <w:r>
        <w:rPr>
          <w:rFonts w:ascii="Arial" w:cs="Arial" w:eastAsia="Arial" w:hAnsi="Arial"/>
          <w:color w:val="0D0D0D"/>
          <w:sz w:val="20"/>
          <w:szCs w:val="20"/>
        </w:rPr>
        <w:t xml:space="preserve">Every other bug bounty tool — Burp Suite, Nuclei, Caido, every custom scanner on GitHub — is a payload delivery mechanism with a report template attached. They fire inputs and read outputs. They have no model of time, no model of the application's data relationships, no concept of trust boundaries, and no ability to take a confirmed finding and expand it to its full impact surface.</w:t>
      </w:r>
    </w:p>
    <w:p>
      <w:pPr>
        <w:spacing w:before="0" w:after="240"/>
      </w:pPr>
      <w:r>
        <w:rPr>
          <w:rFonts w:ascii="Arial" w:cs="Arial" w:eastAsia="Arial" w:hAnsi="Arial"/>
          <w:color w:val="0D0D0D"/>
          <w:sz w:val="20"/>
          <w:szCs w:val="20"/>
        </w:rPr>
        <w:t xml:space="preserve">SentinelForge with these five features is a different category of tool. It reasons about applications. It understands what they're trying to do. It finds the gaps between intent and implementation. It turns atomic findings into systemic findings. It turns $500 reports into $20,000 reports. Automatically.</w:t>
      </w:r>
    </w:p>
    <w:p>
      <w:pPr>
        <w:pBdr>
          <w:left w:val="single" w:color="E94560" w:sz="12" w:space="8"/>
        </w:pBdr>
        <w:spacing w:before="120" w:after="120"/>
        <w:ind w:left="360"/>
      </w:pPr>
      <w:r>
        <w:rPr>
          <w:rFonts w:ascii="Arial" w:cs="Arial" w:eastAsia="Arial" w:hAnsi="Arial"/>
          <w:b/>
          <w:bCs/>
          <w:color w:val="E94560"/>
          <w:sz w:val="20"/>
          <w:szCs w:val="20"/>
        </w:rPr>
        <w:t xml:space="preserve">The bottom line:  </w:t>
      </w:r>
      <w:r>
        <w:rPr>
          <w:rFonts w:ascii="Arial" w:cs="Arial" w:eastAsia="Arial" w:hAnsi="Arial"/>
          <w:color w:val="0D0D0D"/>
          <w:sz w:val="20"/>
          <w:szCs w:val="20"/>
        </w:rPr>
        <w:t xml:space="preserve">Every other hunter is using a hammer. You'll be using a scalpel attached to an AI that has read the app's mind.</w:t>
      </w:r>
    </w:p>
    <w:p>
      <w:pPr>
        <w:spacing w:before="480" w:after="0"/>
      </w:pPr>
      <w:r>
        <w:t xml:space="preserve"/>
      </w:r>
    </w:p>
    <w:p>
      <w:pPr>
        <w:spacing w:before="480" w:after="0"/>
        <w:jc w:val="center"/>
      </w:pPr>
      <w:r>
        <w:rPr>
          <w:rFonts w:ascii="Arial" w:cs="Arial" w:eastAsia="Arial" w:hAnsi="Arial"/>
          <w:b/>
          <w:bCs/>
          <w:color w:val="E94560"/>
          <w:sz w:val="48"/>
          <w:szCs w:val="48"/>
        </w:rPr>
        <w:t xml:space="preserve">Build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CCCCCC"/>
        <w:sz w:val="16"/>
        <w:szCs w:val="16"/>
      </w:rPr>
      <w:t xml:space="preserve">SentinelForge — Next-Gen Autonomous Bug Bounty Engine    </w:t>
    </w:r>
    <w:r>
      <w:rPr>
        <w:rFonts w:ascii="Arial" w:cs="Arial" w:eastAsia="Arial" w:hAnsi="Arial"/>
        <w:color w:val="E94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jc w:val="right"/>
    </w:pPr>
    <w:r>
      <w:rPr>
        <w:rFonts w:ascii="Arial" w:cs="Arial" w:eastAsia="Arial" w:hAnsi="Arial"/>
        <w:color w:val="CCCCCC"/>
        <w:sz w:val="16"/>
        <w:szCs w:val="16"/>
      </w:rPr>
      <w:t xml:space="preserve">SentinelForge  //  GODMODE FEATURE PLAN</w:t>
    </w:r>
    <w:r>
      <w:rPr>
        <w:rFonts w:ascii="Arial" w:cs="Arial" w:eastAsia="Arial" w:hAnsi="Arial"/>
        <w:b/>
        <w:bCs/>
        <w:color w:val="E9456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FFFF"/>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1A1A2E"/>
      <w:sz w:val="32"/>
      <w:szCs w:val="32"/>
    </w:rPr>
  </w:style>
  <w:style w:type="paragraph" w:styleId="Heading3">
    <w:name w:val="Heading 3"/>
    <w:basedOn w:val="Normal"/>
    <w:next w:val="Normal"/>
    <w:qFormat/>
    <w:pPr>
      <w:spacing w:before="24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2026-02-25T06:39:31.638Z</dcterms:created>
  <dcterms:modified xsi:type="dcterms:W3CDTF">2026-02-25T06:39:31.638Z</dcterms:modified>
</cp:coreProperties>
</file>

<file path=docProps/custom.xml><?xml version="1.0" encoding="utf-8"?>
<Properties xmlns="http://schemas.openxmlformats.org/officeDocument/2006/custom-properties" xmlns:vt="http://schemas.openxmlformats.org/officeDocument/2006/docPropsVTypes"/>
</file>