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3E63" w14:textId="2F109C66" w:rsidR="00C13C86" w:rsidRDefault="00C13C86" w:rsidP="00C13C86">
      <w:pPr>
        <w:pStyle w:val="Title"/>
        <w:rPr>
          <w:rFonts w:eastAsia="Calibri"/>
        </w:rPr>
      </w:pPr>
      <w:r>
        <w:rPr>
          <w:rFonts w:eastAsia="Calibri"/>
        </w:rPr>
        <w:t>Visualizing patterns using R:</w:t>
      </w:r>
    </w:p>
    <w:p w14:paraId="25A07A84" w14:textId="3ED08AEA" w:rsidR="00323BB6" w:rsidRDefault="00000000" w:rsidP="00C13C86">
      <w:pPr>
        <w:pStyle w:val="Title"/>
        <w:ind w:left="0" w:firstLine="0"/>
      </w:pPr>
      <w:r>
        <w:rPr>
          <w:rFonts w:eastAsia="Calibri"/>
        </w:rPr>
        <w:t xml:space="preserve">Factors That Shape Student Performance </w:t>
      </w:r>
    </w:p>
    <w:p w14:paraId="1888EBA1" w14:textId="77777777" w:rsidR="00323BB6" w:rsidRDefault="00000000" w:rsidP="00C13C86">
      <w:pPr>
        <w:pStyle w:val="Title"/>
      </w:pPr>
      <w:r>
        <w:t xml:space="preserve">Jean Batista </w:t>
      </w:r>
    </w:p>
    <w:p w14:paraId="3C621C19" w14:textId="77777777" w:rsidR="00C13C86" w:rsidRPr="00C13C86" w:rsidRDefault="00C13C86" w:rsidP="00C13C86"/>
    <w:p w14:paraId="1CD2C02E" w14:textId="1ADCB869" w:rsidR="00323BB6" w:rsidRDefault="00000000" w:rsidP="00C13C86">
      <w:pPr>
        <w:pStyle w:val="Heading1"/>
        <w:ind w:left="-5"/>
      </w:pPr>
      <w:r>
        <w:t>Introduction – Developing the Story</w:t>
      </w:r>
    </w:p>
    <w:p w14:paraId="5C237076" w14:textId="77777777" w:rsidR="00323BB6" w:rsidRDefault="00000000">
      <w:pPr>
        <w:spacing w:after="229"/>
        <w:ind w:left="-5" w:right="103"/>
      </w:pPr>
      <w:r>
        <w:t xml:space="preserve">In this project I explore how study habits, family background, and support programs interact to shape students’ final mathematics grades. I use the UCI Student Performance dataset, which records grades and a range of demographic and educational variables for secondary‑school students in Portugal. My goal is to develop a narrative around what factors help or hinder success, using a series of visualizations to reveal patterns and relationships. The story outlined below guides the choice of plots and the interpretation of the results. </w:t>
      </w:r>
    </w:p>
    <w:p w14:paraId="569E5135" w14:textId="209B5902" w:rsidR="00323BB6" w:rsidRDefault="00000000" w:rsidP="00C13C86">
      <w:pPr>
        <w:pStyle w:val="Heading1"/>
        <w:ind w:left="-5"/>
      </w:pPr>
      <w:r>
        <w:t>Key Variables</w:t>
      </w:r>
    </w:p>
    <w:p w14:paraId="129E3F24" w14:textId="77777777" w:rsidR="00323BB6" w:rsidRDefault="00000000">
      <w:pPr>
        <w:spacing w:after="174" w:line="252" w:lineRule="auto"/>
        <w:ind w:left="-5"/>
      </w:pPr>
      <w:r>
        <w:rPr>
          <w:b/>
        </w:rPr>
        <w:t>Numeric variables</w:t>
      </w:r>
      <w:r>
        <w:t xml:space="preserve"> </w:t>
      </w:r>
    </w:p>
    <w:p w14:paraId="5BE8F63C" w14:textId="77777777" w:rsidR="00323BB6" w:rsidRDefault="00000000">
      <w:pPr>
        <w:numPr>
          <w:ilvl w:val="0"/>
          <w:numId w:val="1"/>
        </w:numPr>
        <w:ind w:right="103" w:hanging="480"/>
      </w:pPr>
      <w:r>
        <w:rPr>
          <w:b/>
        </w:rPr>
        <w:t>age</w:t>
      </w:r>
      <w:r>
        <w:t xml:space="preserve"> – student age in years </w:t>
      </w:r>
    </w:p>
    <w:p w14:paraId="133B3171" w14:textId="77777777" w:rsidR="00323BB6" w:rsidRDefault="00000000">
      <w:pPr>
        <w:spacing w:after="20" w:line="259" w:lineRule="auto"/>
        <w:ind w:left="720" w:firstLine="0"/>
      </w:pPr>
      <w:r>
        <w:t xml:space="preserve"> </w:t>
      </w:r>
    </w:p>
    <w:p w14:paraId="60E48721" w14:textId="77777777" w:rsidR="00323BB6" w:rsidRDefault="00000000">
      <w:pPr>
        <w:numPr>
          <w:ilvl w:val="0"/>
          <w:numId w:val="1"/>
        </w:numPr>
        <w:ind w:right="103" w:hanging="480"/>
      </w:pPr>
      <w:proofErr w:type="spellStart"/>
      <w:r>
        <w:rPr>
          <w:b/>
        </w:rPr>
        <w:t>class_failures</w:t>
      </w:r>
      <w:proofErr w:type="spellEnd"/>
      <w:r>
        <w:t xml:space="preserve"> – number of previous class failures </w:t>
      </w:r>
    </w:p>
    <w:p w14:paraId="3A20D6FA" w14:textId="77777777" w:rsidR="00323BB6" w:rsidRDefault="00000000">
      <w:pPr>
        <w:spacing w:after="23" w:line="259" w:lineRule="auto"/>
        <w:ind w:left="720" w:firstLine="0"/>
      </w:pPr>
      <w:r>
        <w:t xml:space="preserve"> </w:t>
      </w:r>
    </w:p>
    <w:p w14:paraId="18E4146E" w14:textId="77777777" w:rsidR="00323BB6" w:rsidRDefault="00000000">
      <w:pPr>
        <w:numPr>
          <w:ilvl w:val="0"/>
          <w:numId w:val="1"/>
        </w:numPr>
        <w:ind w:right="103" w:hanging="480"/>
      </w:pPr>
      <w:proofErr w:type="spellStart"/>
      <w:r>
        <w:rPr>
          <w:b/>
        </w:rPr>
        <w:t>family_relationship</w:t>
      </w:r>
      <w:proofErr w:type="spellEnd"/>
      <w:r>
        <w:t xml:space="preserve"> – quality of family relationship (1–5 scale) </w:t>
      </w:r>
    </w:p>
    <w:p w14:paraId="00F0911D" w14:textId="77777777" w:rsidR="00323BB6" w:rsidRDefault="00000000">
      <w:pPr>
        <w:spacing w:after="20" w:line="259" w:lineRule="auto"/>
        <w:ind w:left="720" w:firstLine="0"/>
      </w:pPr>
      <w:r>
        <w:t xml:space="preserve"> </w:t>
      </w:r>
    </w:p>
    <w:p w14:paraId="27FBAE26" w14:textId="77777777" w:rsidR="00323BB6" w:rsidRDefault="00000000">
      <w:pPr>
        <w:numPr>
          <w:ilvl w:val="0"/>
          <w:numId w:val="1"/>
        </w:numPr>
        <w:ind w:right="103" w:hanging="480"/>
      </w:pPr>
      <w:proofErr w:type="spellStart"/>
      <w:r>
        <w:rPr>
          <w:b/>
        </w:rPr>
        <w:t>free_time</w:t>
      </w:r>
      <w:proofErr w:type="spellEnd"/>
      <w:r>
        <w:t xml:space="preserve"> – free time after school (1–5 scale) </w:t>
      </w:r>
    </w:p>
    <w:p w14:paraId="7D54AC83" w14:textId="77777777" w:rsidR="00323BB6" w:rsidRDefault="00000000">
      <w:pPr>
        <w:spacing w:after="22" w:line="259" w:lineRule="auto"/>
        <w:ind w:left="720" w:firstLine="0"/>
      </w:pPr>
      <w:r>
        <w:t xml:space="preserve"> </w:t>
      </w:r>
    </w:p>
    <w:p w14:paraId="346B1896" w14:textId="77777777" w:rsidR="00323BB6" w:rsidRDefault="00000000">
      <w:pPr>
        <w:numPr>
          <w:ilvl w:val="0"/>
          <w:numId w:val="1"/>
        </w:numPr>
        <w:ind w:right="103" w:hanging="480"/>
      </w:pPr>
      <w:r>
        <w:rPr>
          <w:b/>
        </w:rPr>
        <w:t>social</w:t>
      </w:r>
      <w:r>
        <w:t xml:space="preserve"> – going out with friends (1–5 scale) </w:t>
      </w:r>
    </w:p>
    <w:p w14:paraId="0B9AFF72" w14:textId="77777777" w:rsidR="00323BB6" w:rsidRDefault="00000000">
      <w:pPr>
        <w:spacing w:after="20" w:line="259" w:lineRule="auto"/>
        <w:ind w:left="720" w:firstLine="0"/>
      </w:pPr>
      <w:r>
        <w:t xml:space="preserve"> </w:t>
      </w:r>
    </w:p>
    <w:p w14:paraId="544680CB" w14:textId="77777777" w:rsidR="00323BB6" w:rsidRDefault="00000000">
      <w:pPr>
        <w:numPr>
          <w:ilvl w:val="0"/>
          <w:numId w:val="1"/>
        </w:numPr>
        <w:ind w:right="103" w:hanging="480"/>
      </w:pPr>
      <w:proofErr w:type="spellStart"/>
      <w:r>
        <w:rPr>
          <w:b/>
        </w:rPr>
        <w:t>weekday_alcohol</w:t>
      </w:r>
      <w:proofErr w:type="spellEnd"/>
      <w:r>
        <w:t xml:space="preserve"> – weekday alcohol consumption (1–5 scale) </w:t>
      </w:r>
    </w:p>
    <w:p w14:paraId="2FC7D76B" w14:textId="77777777" w:rsidR="00323BB6" w:rsidRDefault="00000000">
      <w:pPr>
        <w:spacing w:after="20" w:line="259" w:lineRule="auto"/>
        <w:ind w:left="720" w:firstLine="0"/>
      </w:pPr>
      <w:r>
        <w:t xml:space="preserve"> </w:t>
      </w:r>
    </w:p>
    <w:p w14:paraId="209FFE63" w14:textId="77777777" w:rsidR="00323BB6" w:rsidRDefault="00000000">
      <w:pPr>
        <w:numPr>
          <w:ilvl w:val="0"/>
          <w:numId w:val="1"/>
        </w:numPr>
        <w:ind w:right="103" w:hanging="480"/>
      </w:pPr>
      <w:proofErr w:type="spellStart"/>
      <w:r>
        <w:rPr>
          <w:b/>
        </w:rPr>
        <w:t>weekend_alcohol</w:t>
      </w:r>
      <w:proofErr w:type="spellEnd"/>
      <w:r>
        <w:t xml:space="preserve"> – weekend alcohol consumption (1–5 scale) </w:t>
      </w:r>
    </w:p>
    <w:p w14:paraId="34EEDFA0" w14:textId="77777777" w:rsidR="00323BB6" w:rsidRDefault="00000000">
      <w:pPr>
        <w:spacing w:after="20" w:line="259" w:lineRule="auto"/>
        <w:ind w:left="720" w:firstLine="0"/>
      </w:pPr>
      <w:r>
        <w:t xml:space="preserve"> </w:t>
      </w:r>
    </w:p>
    <w:p w14:paraId="4B05D7CA" w14:textId="77777777" w:rsidR="00323BB6" w:rsidRDefault="00000000">
      <w:pPr>
        <w:numPr>
          <w:ilvl w:val="0"/>
          <w:numId w:val="1"/>
        </w:numPr>
        <w:ind w:right="103" w:hanging="480"/>
      </w:pPr>
      <w:r>
        <w:rPr>
          <w:b/>
        </w:rPr>
        <w:t>health</w:t>
      </w:r>
      <w:r>
        <w:t xml:space="preserve"> – current health status (1–5 scale) </w:t>
      </w:r>
    </w:p>
    <w:p w14:paraId="3A3431FB" w14:textId="77777777" w:rsidR="00323BB6" w:rsidRDefault="00000000">
      <w:pPr>
        <w:spacing w:after="20" w:line="259" w:lineRule="auto"/>
        <w:ind w:left="720" w:firstLine="0"/>
      </w:pPr>
      <w:r>
        <w:t xml:space="preserve"> </w:t>
      </w:r>
    </w:p>
    <w:p w14:paraId="7F6E3C9A" w14:textId="77777777" w:rsidR="00323BB6" w:rsidRDefault="00000000">
      <w:pPr>
        <w:numPr>
          <w:ilvl w:val="0"/>
          <w:numId w:val="1"/>
        </w:numPr>
        <w:ind w:right="103" w:hanging="480"/>
      </w:pPr>
      <w:r>
        <w:rPr>
          <w:b/>
        </w:rPr>
        <w:t>absences</w:t>
      </w:r>
      <w:r>
        <w:t xml:space="preserve"> – number of school absences </w:t>
      </w:r>
    </w:p>
    <w:p w14:paraId="4317D8A8" w14:textId="77777777" w:rsidR="00323BB6" w:rsidRDefault="00000000">
      <w:pPr>
        <w:spacing w:line="259" w:lineRule="auto"/>
        <w:ind w:left="720" w:firstLine="0"/>
      </w:pPr>
      <w:r>
        <w:t xml:space="preserve"> </w:t>
      </w:r>
    </w:p>
    <w:p w14:paraId="04DF707D" w14:textId="77777777" w:rsidR="00323BB6" w:rsidRDefault="00000000">
      <w:pPr>
        <w:numPr>
          <w:ilvl w:val="0"/>
          <w:numId w:val="1"/>
        </w:numPr>
        <w:spacing w:after="169"/>
        <w:ind w:right="103" w:hanging="480"/>
      </w:pPr>
      <w:r>
        <w:rPr>
          <w:b/>
        </w:rPr>
        <w:t>grade_1</w:t>
      </w:r>
      <w:r>
        <w:t xml:space="preserve">, </w:t>
      </w:r>
      <w:r>
        <w:rPr>
          <w:b/>
        </w:rPr>
        <w:t>grade_2</w:t>
      </w:r>
      <w:r>
        <w:t xml:space="preserve">, </w:t>
      </w:r>
      <w:proofErr w:type="spellStart"/>
      <w:r>
        <w:rPr>
          <w:b/>
        </w:rPr>
        <w:t>final_grade</w:t>
      </w:r>
      <w:proofErr w:type="spellEnd"/>
      <w:r>
        <w:t xml:space="preserve"> – grades from first, second and final periods (0–20 scale) </w:t>
      </w:r>
    </w:p>
    <w:p w14:paraId="0AEB1B85" w14:textId="77777777" w:rsidR="00323BB6" w:rsidRDefault="00000000">
      <w:pPr>
        <w:spacing w:after="174" w:line="252" w:lineRule="auto"/>
        <w:ind w:left="-5"/>
      </w:pPr>
      <w:r>
        <w:rPr>
          <w:b/>
        </w:rPr>
        <w:lastRenderedPageBreak/>
        <w:t>Categorical variables</w:t>
      </w:r>
      <w:r>
        <w:t xml:space="preserve"> </w:t>
      </w:r>
    </w:p>
    <w:p w14:paraId="788B61F4" w14:textId="77777777" w:rsidR="00323BB6" w:rsidRDefault="00000000">
      <w:pPr>
        <w:numPr>
          <w:ilvl w:val="0"/>
          <w:numId w:val="1"/>
        </w:numPr>
        <w:ind w:right="103" w:hanging="480"/>
      </w:pPr>
      <w:r>
        <w:rPr>
          <w:b/>
        </w:rPr>
        <w:t>sex</w:t>
      </w:r>
      <w:r>
        <w:t xml:space="preserve"> (F/M) </w:t>
      </w:r>
    </w:p>
    <w:p w14:paraId="1639C707" w14:textId="77777777" w:rsidR="00323BB6" w:rsidRDefault="00000000">
      <w:pPr>
        <w:spacing w:after="0" w:line="259" w:lineRule="auto"/>
        <w:ind w:left="720" w:firstLine="0"/>
      </w:pPr>
      <w:r>
        <w:t xml:space="preserve"> </w:t>
      </w:r>
    </w:p>
    <w:p w14:paraId="419514E9" w14:textId="77777777" w:rsidR="00323BB6" w:rsidRDefault="00000000">
      <w:pPr>
        <w:numPr>
          <w:ilvl w:val="0"/>
          <w:numId w:val="1"/>
        </w:numPr>
        <w:spacing w:after="0" w:line="242" w:lineRule="auto"/>
        <w:ind w:right="103" w:hanging="480"/>
      </w:pPr>
      <w:proofErr w:type="spellStart"/>
      <w:r>
        <w:rPr>
          <w:b/>
        </w:rPr>
        <w:t>study_time</w:t>
      </w:r>
      <w:proofErr w:type="spellEnd"/>
      <w:r>
        <w:t xml:space="preserve"> – weekly study time category (“&lt;2 hours”, “2–5 hours”, “5–10 hours”, “&gt;10 hours”) </w:t>
      </w:r>
    </w:p>
    <w:p w14:paraId="0F4FFF6C" w14:textId="77777777" w:rsidR="00323BB6" w:rsidRDefault="00000000">
      <w:pPr>
        <w:spacing w:after="22" w:line="259" w:lineRule="auto"/>
        <w:ind w:left="720" w:firstLine="0"/>
      </w:pPr>
      <w:r>
        <w:t xml:space="preserve"> </w:t>
      </w:r>
    </w:p>
    <w:p w14:paraId="0B067E5F" w14:textId="77777777" w:rsidR="00323BB6" w:rsidRDefault="00000000">
      <w:pPr>
        <w:numPr>
          <w:ilvl w:val="0"/>
          <w:numId w:val="1"/>
        </w:numPr>
        <w:ind w:right="103" w:hanging="480"/>
      </w:pPr>
      <w:proofErr w:type="spellStart"/>
      <w:r>
        <w:rPr>
          <w:b/>
        </w:rPr>
        <w:t>mother_education</w:t>
      </w:r>
      <w:proofErr w:type="spellEnd"/>
      <w:r>
        <w:t xml:space="preserve">, </w:t>
      </w:r>
      <w:proofErr w:type="spellStart"/>
      <w:r>
        <w:rPr>
          <w:b/>
        </w:rPr>
        <w:t>father_education</w:t>
      </w:r>
      <w:proofErr w:type="spellEnd"/>
      <w:r>
        <w:t xml:space="preserve"> – parental education levels (none, primary, 5th–9th grade, secondary or higher education) </w:t>
      </w:r>
    </w:p>
    <w:p w14:paraId="132AB577" w14:textId="77777777" w:rsidR="00323BB6" w:rsidRDefault="00000000">
      <w:pPr>
        <w:spacing w:after="20" w:line="259" w:lineRule="auto"/>
        <w:ind w:left="720" w:firstLine="0"/>
      </w:pPr>
      <w:r>
        <w:t xml:space="preserve"> </w:t>
      </w:r>
    </w:p>
    <w:p w14:paraId="68805D7C" w14:textId="77777777" w:rsidR="00323BB6" w:rsidRDefault="00000000">
      <w:pPr>
        <w:numPr>
          <w:ilvl w:val="0"/>
          <w:numId w:val="1"/>
        </w:numPr>
        <w:spacing w:after="0" w:line="252" w:lineRule="auto"/>
        <w:ind w:right="103" w:hanging="480"/>
      </w:pPr>
      <w:proofErr w:type="spellStart"/>
      <w:r>
        <w:rPr>
          <w:b/>
        </w:rPr>
        <w:t>school_support</w:t>
      </w:r>
      <w:proofErr w:type="spellEnd"/>
      <w:r>
        <w:t xml:space="preserve">, </w:t>
      </w:r>
      <w:proofErr w:type="spellStart"/>
      <w:r>
        <w:rPr>
          <w:b/>
        </w:rPr>
        <w:t>family_support</w:t>
      </w:r>
      <w:proofErr w:type="spellEnd"/>
      <w:r>
        <w:t xml:space="preserve">, </w:t>
      </w:r>
      <w:proofErr w:type="spellStart"/>
      <w:r>
        <w:rPr>
          <w:b/>
        </w:rPr>
        <w:t>extra_paid_classes</w:t>
      </w:r>
      <w:proofErr w:type="spellEnd"/>
      <w:r>
        <w:t xml:space="preserve"> – indicators of extra educational support </w:t>
      </w:r>
    </w:p>
    <w:p w14:paraId="1F8F5449" w14:textId="77777777" w:rsidR="00323BB6" w:rsidRDefault="00000000">
      <w:pPr>
        <w:spacing w:after="20" w:line="259" w:lineRule="auto"/>
        <w:ind w:left="720" w:firstLine="0"/>
      </w:pPr>
      <w:r>
        <w:t xml:space="preserve"> </w:t>
      </w:r>
    </w:p>
    <w:p w14:paraId="58A1401F" w14:textId="77777777" w:rsidR="00323BB6" w:rsidRDefault="00000000">
      <w:pPr>
        <w:numPr>
          <w:ilvl w:val="0"/>
          <w:numId w:val="1"/>
        </w:numPr>
        <w:spacing w:after="169"/>
        <w:ind w:right="103" w:hanging="480"/>
      </w:pPr>
      <w:r>
        <w:rPr>
          <w:b/>
        </w:rPr>
        <w:t>activities</w:t>
      </w:r>
      <w:r>
        <w:t xml:space="preserve">, </w:t>
      </w:r>
      <w:proofErr w:type="spellStart"/>
      <w:r>
        <w:rPr>
          <w:b/>
        </w:rPr>
        <w:t>nursery_school</w:t>
      </w:r>
      <w:proofErr w:type="spellEnd"/>
      <w:r>
        <w:t xml:space="preserve">, </w:t>
      </w:r>
      <w:proofErr w:type="spellStart"/>
      <w:r>
        <w:rPr>
          <w:b/>
        </w:rPr>
        <w:t>higher_ed</w:t>
      </w:r>
      <w:proofErr w:type="spellEnd"/>
      <w:r>
        <w:t xml:space="preserve">, </w:t>
      </w:r>
      <w:proofErr w:type="spellStart"/>
      <w:r>
        <w:rPr>
          <w:b/>
        </w:rPr>
        <w:t>internet_access</w:t>
      </w:r>
      <w:proofErr w:type="spellEnd"/>
      <w:r>
        <w:t xml:space="preserve">, </w:t>
      </w:r>
      <w:proofErr w:type="spellStart"/>
      <w:r>
        <w:rPr>
          <w:b/>
        </w:rPr>
        <w:t>romantic_relationship</w:t>
      </w:r>
      <w:proofErr w:type="spellEnd"/>
      <w:r>
        <w:t xml:space="preserve"> – further yes/no variables representing extracurricular activities, early education, aspirations, internet access and personal relationships </w:t>
      </w:r>
    </w:p>
    <w:p w14:paraId="3D25C9AB" w14:textId="77777777" w:rsidR="00323BB6" w:rsidRDefault="00000000">
      <w:pPr>
        <w:spacing w:after="240" w:line="238" w:lineRule="auto"/>
        <w:ind w:left="0" w:firstLine="0"/>
      </w:pPr>
      <w:r>
        <w:rPr>
          <w:i/>
        </w:rPr>
        <w:t xml:space="preserve">My analysis focuses on the </w:t>
      </w:r>
      <w:proofErr w:type="spellStart"/>
      <w:r>
        <w:rPr>
          <w:i/>
        </w:rPr>
        <w:t>final_grade</w:t>
      </w:r>
      <w:proofErr w:type="spellEnd"/>
      <w:r>
        <w:rPr>
          <w:i/>
        </w:rPr>
        <w:t xml:space="preserve"> as the outcome and uses the above variables to explore predictors of performance.</w:t>
      </w:r>
      <w:r>
        <w:t xml:space="preserve"> </w:t>
      </w:r>
    </w:p>
    <w:p w14:paraId="6DB667E1" w14:textId="77777777" w:rsidR="00323BB6" w:rsidRDefault="00000000">
      <w:pPr>
        <w:pStyle w:val="Heading1"/>
        <w:ind w:left="-5"/>
      </w:pPr>
      <w:r>
        <w:t xml:space="preserve">Week 5 Skills – Data Management with Pipes </w:t>
      </w:r>
    </w:p>
    <w:p w14:paraId="09BC1CE0" w14:textId="77777777" w:rsidR="00323BB6" w:rsidRDefault="00000000">
      <w:pPr>
        <w:spacing w:after="233"/>
        <w:ind w:left="-5" w:right="103"/>
      </w:pPr>
      <w:r>
        <w:t xml:space="preserve">I began by cleaning the data. After examining the grade distributions, I noticed a concentration of zeros in </w:t>
      </w:r>
      <w:r>
        <w:rPr>
          <w:b/>
        </w:rPr>
        <w:t>grade_1</w:t>
      </w:r>
      <w:r>
        <w:t xml:space="preserve">, </w:t>
      </w:r>
      <w:r>
        <w:rPr>
          <w:b/>
        </w:rPr>
        <w:t>grade_2</w:t>
      </w:r>
      <w:r>
        <w:t xml:space="preserve"> and </w:t>
      </w:r>
      <w:proofErr w:type="spellStart"/>
      <w:r>
        <w:rPr>
          <w:b/>
        </w:rPr>
        <w:t>final_grade</w:t>
      </w:r>
      <w:proofErr w:type="spellEnd"/>
      <w:r>
        <w:t xml:space="preserve">. Investigation showed that these zeros correspond to dropouts – students who left the course and thus have missing grades. To handle these, I replaced 0s with missing values and created a </w:t>
      </w:r>
      <w:proofErr w:type="spellStart"/>
      <w:r>
        <w:rPr>
          <w:rFonts w:ascii="Consolas" w:eastAsia="Consolas" w:hAnsi="Consolas" w:cs="Consolas"/>
          <w:sz w:val="22"/>
        </w:rPr>
        <w:t>dropped_out</w:t>
      </w:r>
      <w:proofErr w:type="spellEnd"/>
      <w:r>
        <w:t xml:space="preserve"> indicator. I also converted study time and other ordinal variables to ordered categories, renamed variables for clarity, removed duplicates, and checked for typos. All transformations were performed using a piped workflow of </w:t>
      </w:r>
      <w:r>
        <w:rPr>
          <w:rFonts w:ascii="Consolas" w:eastAsia="Consolas" w:hAnsi="Consolas" w:cs="Consolas"/>
          <w:sz w:val="22"/>
        </w:rPr>
        <w:t>mutate</w:t>
      </w:r>
      <w:r>
        <w:t xml:space="preserve">, </w:t>
      </w:r>
      <w:proofErr w:type="spellStart"/>
      <w:r>
        <w:rPr>
          <w:rFonts w:ascii="Consolas" w:eastAsia="Consolas" w:hAnsi="Consolas" w:cs="Consolas"/>
          <w:sz w:val="22"/>
        </w:rPr>
        <w:t>na_if</w:t>
      </w:r>
      <w:proofErr w:type="spellEnd"/>
      <w:r>
        <w:t xml:space="preserve">, </w:t>
      </w:r>
      <w:proofErr w:type="spellStart"/>
      <w:r>
        <w:rPr>
          <w:rFonts w:ascii="Consolas" w:eastAsia="Consolas" w:hAnsi="Consolas" w:cs="Consolas"/>
          <w:sz w:val="22"/>
        </w:rPr>
        <w:t>if_else</w:t>
      </w:r>
      <w:proofErr w:type="spellEnd"/>
      <w:r>
        <w:t xml:space="preserve">, </w:t>
      </w:r>
      <w:r>
        <w:rPr>
          <w:rFonts w:ascii="Consolas" w:eastAsia="Consolas" w:hAnsi="Consolas" w:cs="Consolas"/>
          <w:sz w:val="22"/>
        </w:rPr>
        <w:t>select</w:t>
      </w:r>
      <w:r>
        <w:t xml:space="preserve">, and </w:t>
      </w:r>
      <w:proofErr w:type="spellStart"/>
      <w:r>
        <w:rPr>
          <w:rFonts w:ascii="Consolas" w:eastAsia="Consolas" w:hAnsi="Consolas" w:cs="Consolas"/>
          <w:sz w:val="22"/>
        </w:rPr>
        <w:t>group_by</w:t>
      </w:r>
      <w:proofErr w:type="spellEnd"/>
      <w:r>
        <w:t xml:space="preserve"> operations to streamline the process. </w:t>
      </w:r>
    </w:p>
    <w:p w14:paraId="10AC73DA" w14:textId="77777777" w:rsidR="00323BB6" w:rsidRDefault="00000000">
      <w:pPr>
        <w:pStyle w:val="Heading1"/>
        <w:ind w:left="-5"/>
      </w:pPr>
      <w:r>
        <w:t xml:space="preserve">Week 6 Skills – Describing Variation and Covariation </w:t>
      </w:r>
    </w:p>
    <w:p w14:paraId="42E527B2" w14:textId="77777777" w:rsidR="00323BB6" w:rsidRDefault="00000000">
      <w:pPr>
        <w:ind w:left="-5" w:right="103"/>
      </w:pPr>
      <w:r>
        <w:t xml:space="preserve">With the cleaned data, I turned to visualizing variation (distributions) and covariation (relationships between variables). For variation, histograms, densities and boxplots reveal how grades and absences are distributed. For covariation, scatterplots, heatmaps and stacked bars show how multiple predictors interact. In each case I used summarization functions (e.g., </w:t>
      </w:r>
      <w:proofErr w:type="spellStart"/>
      <w:r>
        <w:rPr>
          <w:rFonts w:ascii="Consolas" w:eastAsia="Consolas" w:hAnsi="Consolas" w:cs="Consolas"/>
          <w:sz w:val="22"/>
        </w:rPr>
        <w:t>group_by</w:t>
      </w:r>
      <w:proofErr w:type="spellEnd"/>
      <w:r>
        <w:t xml:space="preserve"> + </w:t>
      </w:r>
      <w:r>
        <w:rPr>
          <w:rFonts w:ascii="Consolas" w:eastAsia="Consolas" w:hAnsi="Consolas" w:cs="Consolas"/>
          <w:sz w:val="22"/>
        </w:rPr>
        <w:t>summarize</w:t>
      </w:r>
      <w:r>
        <w:t xml:space="preserve">) to compute means and counts, and faceting or </w:t>
      </w:r>
      <w:proofErr w:type="spellStart"/>
      <w:r>
        <w:t>colour</w:t>
      </w:r>
      <w:proofErr w:type="spellEnd"/>
      <w:r>
        <w:t xml:space="preserve"> mapping to overlay categories. Below I present nine visualizations that build the narrative. </w:t>
      </w:r>
    </w:p>
    <w:p w14:paraId="6C30A5A9" w14:textId="77777777" w:rsidR="00323BB6" w:rsidRDefault="00000000">
      <w:pPr>
        <w:pStyle w:val="Heading1"/>
        <w:ind w:left="-5"/>
      </w:pPr>
      <w:r>
        <w:lastRenderedPageBreak/>
        <w:t xml:space="preserve">Visualizations and Discussion </w:t>
      </w:r>
    </w:p>
    <w:p w14:paraId="215047F9" w14:textId="77777777" w:rsidR="00323BB6" w:rsidRDefault="00000000">
      <w:pPr>
        <w:pStyle w:val="Heading2"/>
      </w:pPr>
      <w:r>
        <w:t>1</w:t>
      </w:r>
      <w:r>
        <w:rPr>
          <w:rFonts w:ascii="Arial" w:eastAsia="Arial" w:hAnsi="Arial" w:cs="Arial"/>
        </w:rPr>
        <w:t xml:space="preserve"> </w:t>
      </w:r>
      <w:r>
        <w:t xml:space="preserve">Final grade by age and past failures </w:t>
      </w:r>
    </w:p>
    <w:p w14:paraId="1FE5CD70" w14:textId="77777777" w:rsidR="00323BB6" w:rsidRDefault="00000000">
      <w:pPr>
        <w:spacing w:after="122" w:line="259" w:lineRule="auto"/>
        <w:ind w:left="0" w:firstLine="0"/>
        <w:jc w:val="right"/>
      </w:pPr>
      <w:r>
        <w:rPr>
          <w:noProof/>
        </w:rPr>
        <w:drawing>
          <wp:inline distT="0" distB="0" distL="0" distR="0" wp14:anchorId="7991DE20" wp14:editId="6C036743">
            <wp:extent cx="5930265" cy="369570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7"/>
                    <a:stretch>
                      <a:fillRect/>
                    </a:stretch>
                  </pic:blipFill>
                  <pic:spPr>
                    <a:xfrm>
                      <a:off x="0" y="0"/>
                      <a:ext cx="5930265" cy="3695700"/>
                    </a:xfrm>
                    <a:prstGeom prst="rect">
                      <a:avLst/>
                    </a:prstGeom>
                  </pic:spPr>
                </pic:pic>
              </a:graphicData>
            </a:graphic>
          </wp:inline>
        </w:drawing>
      </w:r>
      <w:r>
        <w:t xml:space="preserve"> </w:t>
      </w:r>
    </w:p>
    <w:p w14:paraId="4E06FB15" w14:textId="77777777" w:rsidR="00323BB6" w:rsidRDefault="00000000">
      <w:pPr>
        <w:spacing w:after="155" w:line="259" w:lineRule="auto"/>
        <w:ind w:left="0" w:firstLine="0"/>
      </w:pPr>
      <w:r>
        <w:rPr>
          <w:i/>
        </w:rPr>
        <w:t xml:space="preserve"> </w:t>
      </w:r>
    </w:p>
    <w:p w14:paraId="7CDB33B6" w14:textId="77777777" w:rsidR="00323BB6" w:rsidRDefault="00000000">
      <w:pPr>
        <w:ind w:left="-5" w:right="103"/>
      </w:pPr>
      <w:r>
        <w:t xml:space="preserve">Older students tend to have lower final grades, and students with more prior failures (darker color) perform worse. The scatter also shows few older students with many failures, consistent with repeaters. There are some students with class failures &gt; 1&amp; 2 even at 15 years old. Their final grade is very low.  </w:t>
      </w:r>
    </w:p>
    <w:p w14:paraId="005BBA38" w14:textId="77777777" w:rsidR="00323BB6" w:rsidRDefault="00323BB6">
      <w:pPr>
        <w:sectPr w:rsidR="00323BB6">
          <w:headerReference w:type="even" r:id="rId8"/>
          <w:headerReference w:type="default" r:id="rId9"/>
          <w:headerReference w:type="first" r:id="rId10"/>
          <w:pgSz w:w="12240" w:h="15840"/>
          <w:pgMar w:top="1482" w:right="1407" w:bottom="1754" w:left="1440" w:header="720" w:footer="720" w:gutter="0"/>
          <w:cols w:space="720"/>
        </w:sectPr>
      </w:pPr>
    </w:p>
    <w:p w14:paraId="5A039570" w14:textId="77777777" w:rsidR="00323BB6" w:rsidRDefault="00000000">
      <w:pPr>
        <w:pStyle w:val="Heading2"/>
        <w:ind w:left="228"/>
      </w:pPr>
      <w:r>
        <w:lastRenderedPageBreak/>
        <w:t xml:space="preserve">Final grade by study time and sex </w:t>
      </w:r>
    </w:p>
    <w:p w14:paraId="5688D223" w14:textId="77777777" w:rsidR="00323BB6" w:rsidRDefault="00000000">
      <w:pPr>
        <w:spacing w:after="121" w:line="259" w:lineRule="auto"/>
        <w:ind w:left="0" w:firstLine="0"/>
        <w:jc w:val="right"/>
      </w:pPr>
      <w:r>
        <w:rPr>
          <w:noProof/>
        </w:rPr>
        <w:drawing>
          <wp:inline distT="0" distB="0" distL="0" distR="0" wp14:anchorId="599D5612" wp14:editId="03FBDD90">
            <wp:extent cx="6009640" cy="3695319"/>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1"/>
                    <a:stretch>
                      <a:fillRect/>
                    </a:stretch>
                  </pic:blipFill>
                  <pic:spPr>
                    <a:xfrm>
                      <a:off x="0" y="0"/>
                      <a:ext cx="6009640" cy="3695319"/>
                    </a:xfrm>
                    <a:prstGeom prst="rect">
                      <a:avLst/>
                    </a:prstGeom>
                  </pic:spPr>
                </pic:pic>
              </a:graphicData>
            </a:graphic>
          </wp:inline>
        </w:drawing>
      </w:r>
      <w:r>
        <w:t xml:space="preserve"> </w:t>
      </w:r>
    </w:p>
    <w:p w14:paraId="59F278E2" w14:textId="77777777" w:rsidR="00323BB6" w:rsidRDefault="00000000">
      <w:pPr>
        <w:ind w:left="-5" w:right="103"/>
      </w:pPr>
      <w:r>
        <w:t xml:space="preserve">Students who study more hours each week obtain higher grades. The positive gradient is similar for both sexes, although males show slightly more variation at high study times. </w:t>
      </w:r>
    </w:p>
    <w:p w14:paraId="46144CB8" w14:textId="77777777" w:rsidR="00323BB6" w:rsidRDefault="00000000">
      <w:pPr>
        <w:pStyle w:val="Heading2"/>
        <w:ind w:left="228"/>
      </w:pPr>
      <w:proofErr w:type="gramStart"/>
      <w:r>
        <w:lastRenderedPageBreak/>
        <w:t>Dropout</w:t>
      </w:r>
      <w:proofErr w:type="gramEnd"/>
      <w:r>
        <w:t xml:space="preserve"> count by study time </w:t>
      </w:r>
    </w:p>
    <w:p w14:paraId="13D007C9" w14:textId="77777777" w:rsidR="00323BB6" w:rsidRDefault="00000000">
      <w:pPr>
        <w:spacing w:after="121" w:line="259" w:lineRule="auto"/>
        <w:ind w:left="0" w:right="182" w:firstLine="0"/>
        <w:jc w:val="right"/>
      </w:pPr>
      <w:r>
        <w:rPr>
          <w:noProof/>
        </w:rPr>
        <w:drawing>
          <wp:inline distT="0" distB="0" distL="0" distR="0" wp14:anchorId="706F9BCD" wp14:editId="04B8F40C">
            <wp:extent cx="5894706" cy="369570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2"/>
                    <a:stretch>
                      <a:fillRect/>
                    </a:stretch>
                  </pic:blipFill>
                  <pic:spPr>
                    <a:xfrm>
                      <a:off x="0" y="0"/>
                      <a:ext cx="5894706" cy="3695700"/>
                    </a:xfrm>
                    <a:prstGeom prst="rect">
                      <a:avLst/>
                    </a:prstGeom>
                  </pic:spPr>
                </pic:pic>
              </a:graphicData>
            </a:graphic>
          </wp:inline>
        </w:drawing>
      </w:r>
      <w:r>
        <w:t xml:space="preserve"> </w:t>
      </w:r>
    </w:p>
    <w:p w14:paraId="2EC774CD" w14:textId="77777777" w:rsidR="00323BB6" w:rsidRDefault="00000000">
      <w:pPr>
        <w:ind w:left="-5" w:right="892"/>
      </w:pPr>
      <w:r>
        <w:t xml:space="preserve">Students who study less are more likely to drop out. Dropout cases cluster in the “&lt;2 hours” and “2–5 hours” groups. </w:t>
      </w:r>
      <w:proofErr w:type="gramStart"/>
      <w:r>
        <w:t>Females</w:t>
      </w:r>
      <w:proofErr w:type="gramEnd"/>
      <w:r>
        <w:t xml:space="preserve"> students reflect better study habits. </w:t>
      </w:r>
    </w:p>
    <w:p w14:paraId="34D89A97" w14:textId="77777777" w:rsidR="00323BB6" w:rsidRDefault="00000000">
      <w:pPr>
        <w:pStyle w:val="Heading2"/>
        <w:ind w:left="228"/>
      </w:pPr>
      <w:r>
        <w:lastRenderedPageBreak/>
        <w:t xml:space="preserve">Final grade by support/activity variables </w:t>
      </w:r>
    </w:p>
    <w:p w14:paraId="74AF5C95" w14:textId="77777777" w:rsidR="00323BB6" w:rsidRDefault="00000000">
      <w:pPr>
        <w:spacing w:after="121" w:line="259" w:lineRule="auto"/>
        <w:ind w:left="0" w:right="238" w:firstLine="0"/>
        <w:jc w:val="right"/>
      </w:pPr>
      <w:r>
        <w:rPr>
          <w:noProof/>
        </w:rPr>
        <w:drawing>
          <wp:inline distT="0" distB="0" distL="0" distR="0" wp14:anchorId="46772B7A" wp14:editId="64CBCD39">
            <wp:extent cx="5859145" cy="3695573"/>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3"/>
                    <a:stretch>
                      <a:fillRect/>
                    </a:stretch>
                  </pic:blipFill>
                  <pic:spPr>
                    <a:xfrm>
                      <a:off x="0" y="0"/>
                      <a:ext cx="5859145" cy="3695573"/>
                    </a:xfrm>
                    <a:prstGeom prst="rect">
                      <a:avLst/>
                    </a:prstGeom>
                  </pic:spPr>
                </pic:pic>
              </a:graphicData>
            </a:graphic>
          </wp:inline>
        </w:drawing>
      </w:r>
      <w:r>
        <w:t xml:space="preserve"> </w:t>
      </w:r>
    </w:p>
    <w:p w14:paraId="067FB625" w14:textId="77777777" w:rsidR="00323BB6" w:rsidRDefault="00000000">
      <w:pPr>
        <w:ind w:left="-5" w:right="103"/>
      </w:pPr>
      <w:r>
        <w:t xml:space="preserve">Boxplots across eight binary variables reveal different patterns. Having higher education aspirations and internet access is associated with higher grades. Students receiving school support have lower grades, indicating that support is targeted at struggling students. </w:t>
      </w:r>
    </w:p>
    <w:p w14:paraId="6C7B6036" w14:textId="77777777" w:rsidR="00323BB6" w:rsidRDefault="00000000">
      <w:pPr>
        <w:spacing w:after="0" w:line="259" w:lineRule="auto"/>
        <w:ind w:left="233" w:firstLine="0"/>
      </w:pPr>
      <w:r>
        <w:rPr>
          <w:rFonts w:ascii="Calibri" w:eastAsia="Calibri" w:hAnsi="Calibri" w:cs="Calibri"/>
          <w:b/>
          <w:color w:val="4F81BD"/>
        </w:rPr>
        <w:t xml:space="preserve">Mean final grade by parents’ education </w:t>
      </w:r>
    </w:p>
    <w:p w14:paraId="5426EF5A" w14:textId="77777777" w:rsidR="00323BB6" w:rsidRDefault="00000000">
      <w:pPr>
        <w:spacing w:after="121" w:line="259" w:lineRule="auto"/>
        <w:ind w:left="0" w:right="266" w:firstLine="0"/>
        <w:jc w:val="right"/>
      </w:pPr>
      <w:r>
        <w:rPr>
          <w:noProof/>
        </w:rPr>
        <w:lastRenderedPageBreak/>
        <w:drawing>
          <wp:inline distT="0" distB="0" distL="0" distR="0" wp14:anchorId="798CDEBE" wp14:editId="2C4A1377">
            <wp:extent cx="5841365" cy="3695573"/>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14"/>
                    <a:stretch>
                      <a:fillRect/>
                    </a:stretch>
                  </pic:blipFill>
                  <pic:spPr>
                    <a:xfrm>
                      <a:off x="0" y="0"/>
                      <a:ext cx="5841365" cy="3695573"/>
                    </a:xfrm>
                    <a:prstGeom prst="rect">
                      <a:avLst/>
                    </a:prstGeom>
                  </pic:spPr>
                </pic:pic>
              </a:graphicData>
            </a:graphic>
          </wp:inline>
        </w:drawing>
      </w:r>
      <w:r>
        <w:t xml:space="preserve"> </w:t>
      </w:r>
    </w:p>
    <w:p w14:paraId="74B933B9" w14:textId="77777777" w:rsidR="00323BB6" w:rsidRDefault="00000000">
      <w:pPr>
        <w:spacing w:after="158" w:line="259" w:lineRule="auto"/>
        <w:ind w:left="0" w:firstLine="0"/>
      </w:pPr>
      <w:r>
        <w:rPr>
          <w:i/>
        </w:rPr>
        <w:t xml:space="preserve"> </w:t>
      </w:r>
    </w:p>
    <w:p w14:paraId="00022CDB" w14:textId="77777777" w:rsidR="00323BB6" w:rsidRDefault="00000000">
      <w:pPr>
        <w:ind w:left="-5" w:right="103"/>
      </w:pPr>
      <w:r>
        <w:t xml:space="preserve">The heatmap shows mean grades only for cells with more than five students. Grades increase with parental education: the highest averages occur when both parents have higher education. Low-sample combinations are omitted to avoid misleading results. </w:t>
      </w:r>
    </w:p>
    <w:p w14:paraId="6E7F8FB8" w14:textId="77777777" w:rsidR="00323BB6" w:rsidRDefault="00000000">
      <w:pPr>
        <w:pStyle w:val="Heading2"/>
        <w:spacing w:after="176"/>
        <w:ind w:left="228"/>
      </w:pPr>
      <w:r>
        <w:t xml:space="preserve"> Mean final grade by social frequency and alcohol usage </w:t>
      </w:r>
    </w:p>
    <w:p w14:paraId="2EB96E99" w14:textId="77777777" w:rsidR="00323BB6" w:rsidRDefault="00000000">
      <w:pPr>
        <w:spacing w:after="224" w:line="259" w:lineRule="auto"/>
        <w:ind w:left="0" w:firstLine="0"/>
      </w:pPr>
      <w:r>
        <w:rPr>
          <w:rFonts w:ascii="Calibri" w:eastAsia="Calibri" w:hAnsi="Calibri" w:cs="Calibri"/>
          <w:b/>
          <w:color w:val="4F81BD"/>
        </w:rPr>
        <w:t xml:space="preserve"> </w:t>
      </w:r>
    </w:p>
    <w:p w14:paraId="1AD4A273" w14:textId="77777777" w:rsidR="00323BB6" w:rsidRDefault="00000000">
      <w:pPr>
        <w:spacing w:after="0" w:line="259" w:lineRule="auto"/>
        <w:ind w:left="475" w:firstLine="0"/>
      </w:pPr>
      <w:r>
        <w:t xml:space="preserve"> </w:t>
      </w:r>
    </w:p>
    <w:p w14:paraId="6A68D876" w14:textId="77777777" w:rsidR="00323BB6" w:rsidRDefault="00000000">
      <w:pPr>
        <w:spacing w:after="121" w:line="259" w:lineRule="auto"/>
        <w:ind w:left="0" w:right="103" w:firstLine="0"/>
        <w:jc w:val="right"/>
      </w:pPr>
      <w:r>
        <w:rPr>
          <w:noProof/>
        </w:rPr>
        <w:lastRenderedPageBreak/>
        <w:drawing>
          <wp:inline distT="0" distB="0" distL="0" distR="0" wp14:anchorId="30D97A33" wp14:editId="2231B253">
            <wp:extent cx="5943600" cy="3667760"/>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15"/>
                    <a:stretch>
                      <a:fillRect/>
                    </a:stretch>
                  </pic:blipFill>
                  <pic:spPr>
                    <a:xfrm>
                      <a:off x="0" y="0"/>
                      <a:ext cx="5943600" cy="3667760"/>
                    </a:xfrm>
                    <a:prstGeom prst="rect">
                      <a:avLst/>
                    </a:prstGeom>
                  </pic:spPr>
                </pic:pic>
              </a:graphicData>
            </a:graphic>
          </wp:inline>
        </w:drawing>
      </w:r>
      <w:r>
        <w:t xml:space="preserve"> </w:t>
      </w:r>
    </w:p>
    <w:p w14:paraId="53451A08" w14:textId="77777777" w:rsidR="00323BB6" w:rsidRDefault="00000000">
      <w:pPr>
        <w:ind w:left="-5" w:right="103"/>
      </w:pPr>
      <w:r>
        <w:t xml:space="preserve">As students attend more social outings, </w:t>
      </w:r>
      <w:proofErr w:type="gramStart"/>
      <w:r>
        <w:t>there</w:t>
      </w:r>
      <w:proofErr w:type="gramEnd"/>
      <w:r>
        <w:t xml:space="preserve"> are more likely to consume alcohol on the weekends. </w:t>
      </w:r>
      <w:proofErr w:type="gramStart"/>
      <w:r>
        <w:t>Both of these</w:t>
      </w:r>
      <w:proofErr w:type="gramEnd"/>
      <w:r>
        <w:t xml:space="preserve"> factors negatively impact the grade of the student. Students who do both drinking and going out are very likely to perform </w:t>
      </w:r>
      <w:proofErr w:type="gramStart"/>
      <w:r>
        <w:t>bad</w:t>
      </w:r>
      <w:proofErr w:type="gramEnd"/>
      <w:r>
        <w:t xml:space="preserve">, while students who do only one activity at a low to moderate level can do fine. </w:t>
      </w:r>
    </w:p>
    <w:p w14:paraId="1D0485B7" w14:textId="77777777" w:rsidR="00323BB6" w:rsidRDefault="00000000">
      <w:pPr>
        <w:spacing w:after="0" w:line="259" w:lineRule="auto"/>
        <w:ind w:left="228"/>
      </w:pPr>
      <w:r>
        <w:rPr>
          <w:rFonts w:ascii="Calibri" w:eastAsia="Calibri" w:hAnsi="Calibri" w:cs="Calibri"/>
          <w:b/>
          <w:color w:val="4F81BD"/>
        </w:rPr>
        <w:t xml:space="preserve">Final grade by travel time. </w:t>
      </w:r>
    </w:p>
    <w:p w14:paraId="518A8B08" w14:textId="77777777" w:rsidR="00323BB6" w:rsidRDefault="00000000">
      <w:pPr>
        <w:spacing w:after="121" w:line="259" w:lineRule="auto"/>
        <w:ind w:left="0" w:right="103" w:firstLine="0"/>
        <w:jc w:val="right"/>
      </w:pPr>
      <w:r>
        <w:rPr>
          <w:noProof/>
        </w:rPr>
        <w:lastRenderedPageBreak/>
        <w:drawing>
          <wp:inline distT="0" distB="0" distL="0" distR="0" wp14:anchorId="6792CBAE" wp14:editId="059CAE87">
            <wp:extent cx="5943600" cy="366776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6"/>
                    <a:stretch>
                      <a:fillRect/>
                    </a:stretch>
                  </pic:blipFill>
                  <pic:spPr>
                    <a:xfrm>
                      <a:off x="0" y="0"/>
                      <a:ext cx="5943600" cy="3667760"/>
                    </a:xfrm>
                    <a:prstGeom prst="rect">
                      <a:avLst/>
                    </a:prstGeom>
                  </pic:spPr>
                </pic:pic>
              </a:graphicData>
            </a:graphic>
          </wp:inline>
        </w:drawing>
      </w:r>
      <w:r>
        <w:t xml:space="preserve"> </w:t>
      </w:r>
    </w:p>
    <w:p w14:paraId="4B048BAC" w14:textId="77777777" w:rsidR="00323BB6" w:rsidRDefault="00000000">
      <w:pPr>
        <w:spacing w:after="229"/>
        <w:ind w:left="-5" w:right="103"/>
      </w:pPr>
      <w:r>
        <w:t xml:space="preserve">Box plots illustrate that quick access to school has a modest positive effect on grades. However, the </w:t>
      </w:r>
      <w:proofErr w:type="gramStart"/>
      <w:r>
        <w:t>median</w:t>
      </w:r>
      <w:proofErr w:type="gramEnd"/>
      <w:r>
        <w:t xml:space="preserve"> is roughly the same across students who travel anywhere from &lt;15 to 1 hour, indicating this factor alone </w:t>
      </w:r>
      <w:proofErr w:type="gramStart"/>
      <w:r>
        <w:t>do</w:t>
      </w:r>
      <w:proofErr w:type="gramEnd"/>
      <w:r>
        <w:t xml:space="preserve"> not guarantee high performance. </w:t>
      </w:r>
    </w:p>
    <w:p w14:paraId="086F1031" w14:textId="77777777" w:rsidR="00323BB6" w:rsidRDefault="00000000">
      <w:pPr>
        <w:pStyle w:val="Heading1"/>
        <w:ind w:left="-5"/>
      </w:pPr>
      <w:r>
        <w:t xml:space="preserve">Conclusion </w:t>
      </w:r>
    </w:p>
    <w:p w14:paraId="27CCDEF3" w14:textId="77777777" w:rsidR="00323BB6" w:rsidRDefault="00000000">
      <w:pPr>
        <w:ind w:left="-5" w:right="103"/>
      </w:pPr>
      <w:r>
        <w:t xml:space="preserve">This analysis suggests that multiple factors including time investment in studying, parental background, and avoiding alcohol and frequent social outings are key drivers of student success. Support programs help but may not fully counteract disadvantages stemming from prior failures or low socioeconomic status. Internet access and paid classes, plus quick and reliable travel time to school offer only a small advantage. Understanding these patterns can </w:t>
      </w:r>
      <w:r>
        <w:lastRenderedPageBreak/>
        <w:t xml:space="preserve">help educators target interventions more effectively and encourage habits that lead to improved academic outcomes. </w:t>
      </w:r>
    </w:p>
    <w:sectPr w:rsidR="00323BB6">
      <w:headerReference w:type="even" r:id="rId17"/>
      <w:headerReference w:type="default" r:id="rId18"/>
      <w:headerReference w:type="first" r:id="rId19"/>
      <w:pgSz w:w="12240" w:h="15840"/>
      <w:pgMar w:top="1488" w:right="1282" w:bottom="4594" w:left="1440" w:header="1488"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45E8" w14:textId="77777777" w:rsidR="005E7121" w:rsidRDefault="005E7121">
      <w:pPr>
        <w:spacing w:after="0" w:line="240" w:lineRule="auto"/>
      </w:pPr>
      <w:r>
        <w:separator/>
      </w:r>
    </w:p>
  </w:endnote>
  <w:endnote w:type="continuationSeparator" w:id="0">
    <w:p w14:paraId="126E6F8E" w14:textId="77777777" w:rsidR="005E7121" w:rsidRDefault="005E7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91B54" w14:textId="77777777" w:rsidR="005E7121" w:rsidRDefault="005E7121">
      <w:pPr>
        <w:spacing w:after="0" w:line="240" w:lineRule="auto"/>
      </w:pPr>
      <w:r>
        <w:separator/>
      </w:r>
    </w:p>
  </w:footnote>
  <w:footnote w:type="continuationSeparator" w:id="0">
    <w:p w14:paraId="5BE43596" w14:textId="77777777" w:rsidR="005E7121" w:rsidRDefault="005E7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AC5F" w14:textId="77777777" w:rsidR="00323BB6" w:rsidRDefault="00323BB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160A" w14:textId="77777777" w:rsidR="00323BB6" w:rsidRDefault="00323BB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0B03" w14:textId="77777777" w:rsidR="00323BB6" w:rsidRDefault="00323BB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3EA4" w14:textId="77777777" w:rsidR="00323BB6" w:rsidRDefault="00000000">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b/>
        <w:color w:val="4F81BD"/>
      </w:rPr>
      <w:t>2</w:t>
    </w:r>
    <w:r>
      <w:rPr>
        <w:rFonts w:ascii="Calibri" w:eastAsia="Calibri" w:hAnsi="Calibri" w:cs="Calibri"/>
        <w:b/>
        <w:color w:val="4F81BD"/>
      </w:rPr>
      <w:fldChar w:fldCharType="end"/>
    </w:r>
    <w:r>
      <w:rPr>
        <w:rFonts w:ascii="Calibri" w:eastAsia="Calibri" w:hAnsi="Calibri" w:cs="Calibri"/>
        <w:b/>
        <w:color w:val="4F81BD"/>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1D68" w14:textId="77777777" w:rsidR="00323BB6" w:rsidRDefault="00000000">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b/>
        <w:color w:val="4F81BD"/>
      </w:rPr>
      <w:t>2</w:t>
    </w:r>
    <w:r>
      <w:rPr>
        <w:rFonts w:ascii="Calibri" w:eastAsia="Calibri" w:hAnsi="Calibri" w:cs="Calibri"/>
        <w:b/>
        <w:color w:val="4F81BD"/>
      </w:rPr>
      <w:fldChar w:fldCharType="end"/>
    </w:r>
    <w:r>
      <w:rPr>
        <w:rFonts w:ascii="Calibri" w:eastAsia="Calibri" w:hAnsi="Calibri" w:cs="Calibri"/>
        <w:b/>
        <w:color w:val="4F81BD"/>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9B2D" w14:textId="77777777" w:rsidR="00323BB6" w:rsidRDefault="00000000">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b/>
        <w:color w:val="4F81BD"/>
      </w:rPr>
      <w:t>2</w:t>
    </w:r>
    <w:r>
      <w:rPr>
        <w:rFonts w:ascii="Calibri" w:eastAsia="Calibri" w:hAnsi="Calibri" w:cs="Calibri"/>
        <w:b/>
        <w:color w:val="4F81BD"/>
      </w:rPr>
      <w:fldChar w:fldCharType="end"/>
    </w:r>
    <w:r>
      <w:rPr>
        <w:rFonts w:ascii="Calibri" w:eastAsia="Calibri" w:hAnsi="Calibri" w:cs="Calibri"/>
        <w:b/>
        <w:color w:val="4F81BD"/>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4991"/>
    <w:multiLevelType w:val="hybridMultilevel"/>
    <w:tmpl w:val="92B005E6"/>
    <w:lvl w:ilvl="0" w:tplc="9016FDB8">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6745530">
      <w:start w:val="1"/>
      <w:numFmt w:val="bullet"/>
      <w:lvlText w:val="o"/>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3605E82">
      <w:start w:val="1"/>
      <w:numFmt w:val="bullet"/>
      <w:lvlText w:val="▪"/>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4F295EC">
      <w:start w:val="1"/>
      <w:numFmt w:val="bullet"/>
      <w:lvlText w:val="•"/>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508FE34">
      <w:start w:val="1"/>
      <w:numFmt w:val="bullet"/>
      <w:lvlText w:val="o"/>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C280C7E">
      <w:start w:val="1"/>
      <w:numFmt w:val="bullet"/>
      <w:lvlText w:val="▪"/>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7A27198">
      <w:start w:val="1"/>
      <w:numFmt w:val="bullet"/>
      <w:lvlText w:val="•"/>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F900706">
      <w:start w:val="1"/>
      <w:numFmt w:val="bullet"/>
      <w:lvlText w:val="o"/>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C2E1082">
      <w:start w:val="1"/>
      <w:numFmt w:val="bullet"/>
      <w:lvlText w:val="▪"/>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5603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B6"/>
    <w:rsid w:val="00323BB6"/>
    <w:rsid w:val="005E7121"/>
    <w:rsid w:val="009536CE"/>
    <w:rsid w:val="00C13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319C"/>
  <w15:docId w15:val="{14F0504E-053C-412F-B3D4-A5CE6AE10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112" w:line="259" w:lineRule="auto"/>
      <w:ind w:left="10" w:hanging="10"/>
      <w:outlineLvl w:val="0"/>
    </w:pPr>
    <w:rPr>
      <w:rFonts w:ascii="Calibri" w:eastAsia="Calibri" w:hAnsi="Calibri" w:cs="Calibri"/>
      <w:b/>
      <w:color w:val="4F81BD"/>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libri" w:eastAsia="Calibri" w:hAnsi="Calibri" w:cs="Calibri"/>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4"/>
    </w:rPr>
  </w:style>
  <w:style w:type="character" w:customStyle="1" w:styleId="Heading1Char">
    <w:name w:val="Heading 1 Char"/>
    <w:link w:val="Heading1"/>
    <w:rPr>
      <w:rFonts w:ascii="Calibri" w:eastAsia="Calibri" w:hAnsi="Calibri" w:cs="Calibri"/>
      <w:b/>
      <w:color w:val="4F81BD"/>
      <w:sz w:val="28"/>
    </w:rPr>
  </w:style>
  <w:style w:type="paragraph" w:styleId="Title">
    <w:name w:val="Title"/>
    <w:basedOn w:val="Normal"/>
    <w:next w:val="Normal"/>
    <w:link w:val="TitleChar"/>
    <w:uiPriority w:val="10"/>
    <w:qFormat/>
    <w:rsid w:val="00C13C86"/>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13C8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header" Target="header3.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878</Words>
  <Characters>5007</Characters>
  <Application>Microsoft Office Word</Application>
  <DocSecurity>0</DocSecurity>
  <Lines>41</Lines>
  <Paragraphs>11</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 BATISTA</dc:creator>
  <cp:keywords/>
  <cp:lastModifiedBy>JEAN C BATISTA</cp:lastModifiedBy>
  <cp:revision>3</cp:revision>
  <cp:lastPrinted>2025-09-20T01:16:00Z</cp:lastPrinted>
  <dcterms:created xsi:type="dcterms:W3CDTF">2025-09-20T01:16:00Z</dcterms:created>
  <dcterms:modified xsi:type="dcterms:W3CDTF">2025-09-20T01:16:00Z</dcterms:modified>
</cp:coreProperties>
</file>