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7560"/>
            <w:shd w:fill="4C2BBF"/>
            <w:tcMar>
              <w:top w:w="150" w:type="dxa"/>
              <w:start w:w="160" w:type="dxa"/>
              <w:bottom w:w="140" w:type="dxa"/>
              <w:end w:w="16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E8E0FF"/>
                <w:sz w:val="20"/>
              </w:rPr>
              <w:t>STORYTALE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40"/>
              </w:rPr>
              <w:t>Risk Assessment &amp; Contingency Plan</w:t>
            </w:r>
          </w:p>
          <w:p>
            <w:pPr>
              <w:spacing w:after="0"/>
            </w:pPr>
            <w:r>
              <w:rPr>
                <w:rFonts w:ascii="Arial" w:hAnsi="Arial"/>
                <w:color w:val="E8E0FF"/>
                <w:sz w:val="18"/>
              </w:rPr>
              <w:t>Prevention, triggers, and recovery actions for the StoryTale implementation.</w:t>
            </w:r>
          </w:p>
        </w:tc>
        <w:tc>
          <w:tcPr>
            <w:tcW w:type="dxa" w:w="2232"/>
            <w:shd w:fill="171428"/>
            <w:tcMar>
              <w:top w:w="150" w:type="dxa"/>
              <w:start w:w="160" w:type="dxa"/>
              <w:bottom w:w="140" w:type="dxa"/>
              <w:end w:w="160" w:type="dxa"/>
            </w:tcMar>
          </w:tcPr>
          <w:p>
            <w:pPr>
              <w:spacing w:after="40"/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IT ELECT 4</w:t>
            </w:r>
          </w:p>
          <w:p>
            <w:pPr>
              <w:jc w:val="right"/>
            </w:pPr>
            <w:r>
              <w:rPr>
                <w:rFonts w:ascii="Arial" w:hAnsi="Arial"/>
                <w:color w:val="E8E0FF"/>
                <w:sz w:val="18"/>
              </w:rPr>
              <w:t>3 AUG 2026</w:t>
            </w:r>
          </w:p>
          <w:p>
            <w:pPr>
              <w:jc w:val="right"/>
            </w:pPr>
            <w:r>
              <w:rPr>
                <w:rFonts w:ascii="Arial" w:hAnsi="Arial"/>
                <w:color w:val="FFFFFF"/>
                <w:sz w:val="16"/>
              </w:rPr>
              <w:t>John Benedict S. Alejo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8" w:space="7" w:color="4C2BBF"/>
        </w:pBdr>
      </w:pPr>
      <w:r>
        <w:t>Assessment Approach</w:t>
      </w:r>
    </w:p>
    <w:p>
      <w:r>
        <w:t>Risks are evaluated using qualitative probability and impact levels. High-impact risks receive an explicit prevention action, a measurable warning trigger, and a contingency that protects the core local reading experience.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02"/>
            <w:shd w:fill="F3F0FA"/>
            <w:tcMar>
              <w:top w:w="12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4C2BBF"/>
                <w:sz w:val="32"/>
              </w:rPr>
              <w:t>10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5F5A6B"/>
                <w:sz w:val="16"/>
              </w:rPr>
              <w:t>tracked risks</w:t>
            </w:r>
          </w:p>
        </w:tc>
        <w:tc>
          <w:tcPr>
            <w:tcW w:type="dxa" w:w="2502"/>
            <w:shd w:fill="F3F0FA"/>
            <w:tcMar>
              <w:top w:w="12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4C2BBF"/>
                <w:sz w:val="32"/>
              </w:rPr>
              <w:t>7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5F5A6B"/>
                <w:sz w:val="16"/>
              </w:rPr>
              <w:t>high-impact risks</w:t>
            </w:r>
          </w:p>
        </w:tc>
        <w:tc>
          <w:tcPr>
            <w:tcW w:type="dxa" w:w="2502"/>
            <w:shd w:fill="F3F0FA"/>
            <w:tcMar>
              <w:top w:w="12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4C2BBF"/>
                <w:sz w:val="32"/>
              </w:rPr>
              <w:t>3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5F5A6B"/>
                <w:sz w:val="16"/>
              </w:rPr>
              <w:t>AI/API risks</w:t>
            </w:r>
          </w:p>
        </w:tc>
        <w:tc>
          <w:tcPr>
            <w:tcW w:type="dxa" w:w="2502"/>
            <w:shd w:fill="F3F0FA"/>
            <w:tcMar>
              <w:top w:w="12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4C2BBF"/>
                <w:sz w:val="32"/>
              </w:rPr>
              <w:t>Weekly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5F5A6B"/>
                <w:sz w:val="16"/>
              </w:rPr>
              <w:t>review frequency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8" w:space="7" w:color="4C2BBF"/>
        </w:pBdr>
      </w:pPr>
      <w:r>
        <w:t>Risk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  <w:tblHeader w:val="true"/>
        </w:trP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4C2BBF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Probability</w:t>
            </w:r>
          </w:p>
        </w:tc>
        <w:tc>
          <w:tcPr>
            <w:tcW w:type="dxa" w:w="374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4C2BBF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Medium Impact</w:t>
            </w:r>
          </w:p>
        </w:tc>
        <w:tc>
          <w:tcPr>
            <w:tcW w:type="dxa" w:w="388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4C2BBF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High Impact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8"/>
              </w:rPr>
              <w:t>High probability</w:t>
            </w:r>
          </w:p>
        </w:tc>
        <w:tc>
          <w:tcPr>
            <w:tcW w:type="dxa" w:w="374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D88B22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8"/>
              </w:rPr>
              <w:t>R4, R7</w:t>
            </w:r>
          </w:p>
        </w:tc>
        <w:tc>
          <w:tcPr>
            <w:tcW w:type="dxa" w:w="388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C2415A"/>
          </w:tcPr>
          <w:p>
            <w:pPr>
              <w:spacing w:after="0" w:before="0"/>
            </w:pPr>
            <w:r>
              <w:rPr>
                <w:rFonts w:ascii="Arial" w:hAnsi="Arial"/>
                <w:color w:val="FFFFFF"/>
                <w:sz w:val="18"/>
              </w:rPr>
              <w:t>R3, R6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8"/>
              </w:rPr>
              <w:t>Medium probability</w:t>
            </w:r>
          </w:p>
        </w:tc>
        <w:tc>
          <w:tcPr>
            <w:tcW w:type="dxa" w:w="374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8"/>
              </w:rPr>
              <w:t>-</w:t>
            </w:r>
          </w:p>
        </w:tc>
        <w:tc>
          <w:tcPr>
            <w:tcW w:type="dxa" w:w="388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D88B22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8"/>
              </w:rPr>
              <w:t>R1, R2, R5, R8, R9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8"/>
              </w:rPr>
              <w:t>Low probability</w:t>
            </w:r>
          </w:p>
        </w:tc>
        <w:tc>
          <w:tcPr>
            <w:tcW w:type="dxa" w:w="374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8"/>
              </w:rPr>
              <w:t>-</w:t>
            </w:r>
          </w:p>
        </w:tc>
        <w:tc>
          <w:tcPr>
            <w:tcW w:type="dxa" w:w="388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8"/>
              </w:rPr>
              <w:t>R10</w:t>
            </w:r>
          </w:p>
        </w:tc>
      </w:tr>
    </w:tbl>
    <w:p>
      <w:pPr>
        <w:pStyle w:val="Heading1"/>
        <w:pBdr>
          <w:bottom w:val="single" w:sz="18" w:space="7" w:color="4C2BBF"/>
        </w:pBdr>
      </w:pPr>
      <w:r>
        <w:t>Risk Register and Contingencies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cantSplit/>
          <w:tblHeader w:val="true"/>
        </w:trPr>
        <w:tc>
          <w:tcPr>
            <w:tcW w:type="dxa" w:w="54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4C2BBF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169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4C2BBF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4"/>
              </w:rPr>
              <w:t>Risk</w:t>
            </w:r>
          </w:p>
        </w:tc>
        <w:tc>
          <w:tcPr>
            <w:tcW w:type="dxa" w:w="7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4C2BBF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4"/>
              </w:rPr>
              <w:t>Prob.</w:t>
            </w:r>
          </w:p>
        </w:tc>
        <w:tc>
          <w:tcPr>
            <w:tcW w:type="dxa" w:w="7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4C2BBF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4"/>
              </w:rPr>
              <w:t>Impact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4C2BBF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4"/>
              </w:rPr>
              <w:t>Prevention / Mitigation</w:t>
            </w:r>
          </w:p>
        </w:tc>
        <w:tc>
          <w:tcPr>
            <w:tcW w:type="dxa" w:w="223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4C2BBF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4"/>
              </w:rPr>
              <w:t>Contingency</w:t>
            </w:r>
          </w:p>
        </w:tc>
        <w:tc>
          <w:tcPr>
            <w:tcW w:type="dxa" w:w="151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4C2BBF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4"/>
              </w:rPr>
              <w:t>Trigger</w:t>
            </w:r>
          </w:p>
        </w:tc>
      </w:tr>
      <w:tr>
        <w:trPr>
          <w:cantSplit/>
        </w:trPr>
        <w:tc>
          <w:tcPr>
            <w:tcW w:type="dxa" w:w="54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R1</w:t>
            </w:r>
          </w:p>
        </w:tc>
        <w:tc>
          <w:tcPr>
            <w:tcW w:type="dxa" w:w="169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Cloud API quota, outage, or slow response</w:t>
            </w:r>
          </w:p>
        </w:tc>
        <w:tc>
          <w:tcPr>
            <w:tcW w:type="dxa" w:w="7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Medium</w:t>
            </w:r>
          </w:p>
        </w:tc>
        <w:tc>
          <w:tcPr>
            <w:tcW w:type="dxa" w:w="7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High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Cache successful results; avoid duplicate calls; add retry and timeout rules.</w:t>
            </w:r>
          </w:p>
        </w:tc>
        <w:tc>
          <w:tcPr>
            <w:tcW w:type="dxa" w:w="223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Keep the last valid result and allow the user to retry later.</w:t>
            </w:r>
          </w:p>
        </w:tc>
        <w:tc>
          <w:tcPr>
            <w:tcW w:type="dxa" w:w="151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API error or quota warning</w:t>
            </w:r>
          </w:p>
        </w:tc>
      </w:tr>
      <w:tr>
        <w:trPr>
          <w:cantSplit/>
        </w:trPr>
        <w:tc>
          <w:tcPr>
            <w:tcW w:type="dxa" w:w="54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R2</w:t>
            </w:r>
          </w:p>
        </w:tc>
        <w:tc>
          <w:tcPr>
            <w:tcW w:type="dxa" w:w="169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Gemini story analysis returns inconsistent data</w:t>
            </w:r>
          </w:p>
        </w:tc>
        <w:tc>
          <w:tcPr>
            <w:tcW w:type="dxa" w:w="7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Medium</w:t>
            </w:r>
          </w:p>
        </w:tc>
        <w:tc>
          <w:tcPr>
            <w:tcW w:type="dxa" w:w="7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High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Use strict structured output, validation, stable IDs, and chapter-to-book context.</w:t>
            </w:r>
          </w:p>
        </w:tc>
        <w:tc>
          <w:tcPr>
            <w:tcW w:type="dxa" w:w="223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Reject invalid output and use a safe minimal chapter package.</w:t>
            </w:r>
          </w:p>
        </w:tc>
        <w:tc>
          <w:tcPr>
            <w:tcW w:type="dxa" w:w="151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Schema or continuity check fails</w:t>
            </w:r>
          </w:p>
        </w:tc>
      </w:tr>
      <w:tr>
        <w:trPr>
          <w:cantSplit/>
        </w:trPr>
        <w:tc>
          <w:tcPr>
            <w:tcW w:type="dxa" w:w="54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R3</w:t>
            </w:r>
          </w:p>
        </w:tc>
        <w:tc>
          <w:tcPr>
            <w:tcW w:type="dxa" w:w="169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Generated characters or assets change appearance</w:t>
            </w:r>
          </w:p>
        </w:tc>
        <w:tc>
          <w:tcPr>
            <w:tcW w:type="dxa" w:w="7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High</w:t>
            </w:r>
          </w:p>
        </w:tc>
        <w:tc>
          <w:tcPr>
            <w:tcW w:type="dxa" w:w="7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High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Lock reference images, character descriptions, reusable asset IDs, and approved catalogs.</w:t>
            </w:r>
          </w:p>
        </w:tc>
        <w:tc>
          <w:tcPr>
            <w:tcW w:type="dxa" w:w="223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Regenerate only the failed variant or replace it with an approved placeholder.</w:t>
            </w:r>
          </w:p>
        </w:tc>
        <w:tc>
          <w:tcPr>
            <w:tcW w:type="dxa" w:w="151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Identity score or visual review fails</w:t>
            </w:r>
          </w:p>
        </w:tc>
      </w:tr>
      <w:tr>
        <w:trPr>
          <w:cantSplit/>
        </w:trPr>
        <w:tc>
          <w:tcPr>
            <w:tcW w:type="dxa" w:w="54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R4</w:t>
            </w:r>
          </w:p>
        </w:tc>
        <w:tc>
          <w:tcPr>
            <w:tcW w:type="dxa" w:w="169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Offline voice packs make the app too large</w:t>
            </w:r>
          </w:p>
        </w:tc>
        <w:tc>
          <w:tcPr>
            <w:tcW w:type="dxa" w:w="7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High</w:t>
            </w:r>
          </w:p>
        </w:tc>
        <w:tc>
          <w:tcPr>
            <w:tcW w:type="dxa" w:w="7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Medium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Limit the first release to five optional, quantized ONNX voice packs.</w:t>
            </w:r>
          </w:p>
        </w:tc>
        <w:tc>
          <w:tcPr>
            <w:tcW w:type="dxa" w:w="223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Ship one default voice and let users download or remove other packs.</w:t>
            </w:r>
          </w:p>
        </w:tc>
        <w:tc>
          <w:tcPr>
            <w:tcW w:type="dxa" w:w="151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Install size exceeds target</w:t>
            </w:r>
          </w:p>
        </w:tc>
      </w:tr>
      <w:tr>
        <w:trPr>
          <w:cantSplit/>
        </w:trPr>
        <w:tc>
          <w:tcPr>
            <w:tcW w:type="dxa" w:w="54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R5</w:t>
            </w:r>
          </w:p>
        </w:tc>
        <w:tc>
          <w:tcPr>
            <w:tcW w:type="dxa" w:w="169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Animated Story Mode performs poorly on mobile</w:t>
            </w:r>
          </w:p>
        </w:tc>
        <w:tc>
          <w:tcPr>
            <w:tcW w:type="dxa" w:w="7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Medium</w:t>
            </w:r>
          </w:p>
        </w:tc>
        <w:tc>
          <w:tcPr>
            <w:tcW w:type="dxa" w:w="7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High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Pre-generate assets, cache audio, limit visible sprites, and profile on Android.</w:t>
            </w:r>
          </w:p>
        </w:tc>
        <w:tc>
          <w:tcPr>
            <w:tcW w:type="dxa" w:w="223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Reduce motion, image resolution, and active layers while keeping subtitles and audio.</w:t>
            </w:r>
          </w:p>
        </w:tc>
        <w:tc>
          <w:tcPr>
            <w:tcW w:type="dxa" w:w="151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Dropped frames or high memory use</w:t>
            </w:r>
          </w:p>
        </w:tc>
      </w:tr>
      <w:tr>
        <w:trPr>
          <w:cantSplit/>
        </w:trPr>
        <w:tc>
          <w:tcPr>
            <w:tcW w:type="dxa" w:w="54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R6</w:t>
            </w:r>
          </w:p>
        </w:tc>
        <w:tc>
          <w:tcPr>
            <w:tcW w:type="dxa" w:w="169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Different EPUB structures break import or chapters</w:t>
            </w:r>
          </w:p>
        </w:tc>
        <w:tc>
          <w:tcPr>
            <w:tcW w:type="dxa" w:w="7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High</w:t>
            </w:r>
          </w:p>
        </w:tc>
        <w:tc>
          <w:tcPr>
            <w:tcW w:type="dxa" w:w="7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High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Normalize spine and HTML content; test multiple EPUB layouts and encodings.</w:t>
            </w:r>
          </w:p>
        </w:tc>
        <w:tc>
          <w:tcPr>
            <w:tcW w:type="dxa" w:w="223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Show manual chapter review and keep the original EPUB available.</w:t>
            </w:r>
          </w:p>
        </w:tc>
        <w:tc>
          <w:tcPr>
            <w:tcW w:type="dxa" w:w="151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Missing or merged chapters</w:t>
            </w:r>
          </w:p>
        </w:tc>
      </w:tr>
      <w:tr>
        <w:trPr>
          <w:cantSplit/>
        </w:trPr>
        <w:tc>
          <w:tcPr>
            <w:tcW w:type="dxa" w:w="54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R7</w:t>
            </w:r>
          </w:p>
        </w:tc>
        <w:tc>
          <w:tcPr>
            <w:tcW w:type="dxa" w:w="169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DeepL character allowance is consumed too quickly</w:t>
            </w:r>
          </w:p>
        </w:tc>
        <w:tc>
          <w:tcPr>
            <w:tcW w:type="dxa" w:w="7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Medium</w:t>
            </w:r>
          </w:p>
        </w:tc>
        <w:tc>
          <w:tcPr>
            <w:tcW w:type="dxa" w:w="7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Medium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Translate per chapter, cache every result, and display usage before a request.</w:t>
            </w:r>
          </w:p>
        </w:tc>
        <w:tc>
          <w:tcPr>
            <w:tcW w:type="dxa" w:w="223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Allow English-only reading until the allowance resets or is upgraded.</w:t>
            </w:r>
          </w:p>
        </w:tc>
        <w:tc>
          <w:tcPr>
            <w:tcW w:type="dxa" w:w="151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Usage reaches 80 percent</w:t>
            </w:r>
          </w:p>
        </w:tc>
      </w:tr>
      <w:tr>
        <w:trPr>
          <w:cantSplit/>
        </w:trPr>
        <w:tc>
          <w:tcPr>
            <w:tcW w:type="dxa" w:w="54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R8</w:t>
            </w:r>
          </w:p>
        </w:tc>
        <w:tc>
          <w:tcPr>
            <w:tcW w:type="dxa" w:w="169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Local data or generated assets are lost</w:t>
            </w:r>
          </w:p>
        </w:tc>
        <w:tc>
          <w:tcPr>
            <w:tcW w:type="dxa" w:w="7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Medium</w:t>
            </w:r>
          </w:p>
        </w:tc>
        <w:tc>
          <w:tcPr>
            <w:tcW w:type="dxa" w:w="7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High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Use durable local database and file storage with atomic saves and migrations.</w:t>
            </w:r>
          </w:p>
        </w:tc>
        <w:tc>
          <w:tcPr>
            <w:tcW w:type="dxa" w:w="223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Restore from a local export or rebuild only the affected derived assets.</w:t>
            </w:r>
          </w:p>
        </w:tc>
        <w:tc>
          <w:tcPr>
            <w:tcW w:type="dxa" w:w="151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Missing record after restart</w:t>
            </w:r>
          </w:p>
        </w:tc>
      </w:tr>
      <w:tr>
        <w:trPr>
          <w:cantSplit/>
        </w:trPr>
        <w:tc>
          <w:tcPr>
            <w:tcW w:type="dxa" w:w="54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R9</w:t>
            </w:r>
          </w:p>
        </w:tc>
        <w:tc>
          <w:tcPr>
            <w:tcW w:type="dxa" w:w="169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Schedule slips because the scope expands</w:t>
            </w:r>
          </w:p>
        </w:tc>
        <w:tc>
          <w:tcPr>
            <w:tcW w:type="dxa" w:w="7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Medium</w:t>
            </w:r>
          </w:p>
        </w:tc>
        <w:tc>
          <w:tcPr>
            <w:tcW w:type="dxa" w:w="7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High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Protect the MVP, review weekly priorities, and defer music and advanced polish.</w:t>
            </w:r>
          </w:p>
        </w:tc>
        <w:tc>
          <w:tcPr>
            <w:tcW w:type="dxa" w:w="223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Freeze new features and complete the reader, translation, audio, and one chapter demo.</w:t>
            </w:r>
          </w:p>
        </w:tc>
        <w:tc>
          <w:tcPr>
            <w:tcW w:type="dxa" w:w="151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A milestone misses its week</w:t>
            </w:r>
          </w:p>
        </w:tc>
      </w:tr>
      <w:tr>
        <w:trPr>
          <w:cantSplit/>
        </w:trPr>
        <w:tc>
          <w:tcPr>
            <w:tcW w:type="dxa" w:w="54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R10</w:t>
            </w:r>
          </w:p>
        </w:tc>
        <w:tc>
          <w:tcPr>
            <w:tcW w:type="dxa" w:w="169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Copyright, privacy, or API key exposure</w:t>
            </w:r>
          </w:p>
        </w:tc>
        <w:tc>
          <w:tcPr>
            <w:tcW w:type="dxa" w:w="7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Low</w:t>
            </w:r>
          </w:p>
        </w:tc>
        <w:tc>
          <w:tcPr>
            <w:tcW w:type="dxa" w:w="7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High</w:t>
            </w:r>
          </w:p>
        </w:tc>
        <w:tc>
          <w:tcPr>
            <w:tcW w:type="dxa" w:w="2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Use user-owned or public-domain EPUBs, local files, and server-side secrets.</w:t>
            </w:r>
          </w:p>
        </w:tc>
        <w:tc>
          <w:tcPr>
            <w:tcW w:type="dxa" w:w="223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Remove exposed credentials, rotate keys, and disable affected generated content.</w:t>
            </w:r>
          </w:p>
        </w:tc>
        <w:tc>
          <w:tcPr>
            <w:tcW w:type="dxa" w:w="151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0FA"/>
          </w:tcPr>
          <w:p>
            <w:pPr>
              <w:spacing w:after="0" w:before="0"/>
            </w:pPr>
            <w:r>
              <w:rPr>
                <w:rFonts w:ascii="Arial" w:hAnsi="Arial"/>
                <w:color w:val="171428"/>
                <w:sz w:val="14"/>
              </w:rPr>
              <w:t>Secret scan or content complaint</w:t>
            </w:r>
          </w:p>
        </w:tc>
      </w:tr>
    </w:tbl>
    <w:p>
      <w:pPr>
        <w:pStyle w:val="Heading1"/>
        <w:pBdr>
          <w:bottom w:val="single" w:sz="18" w:space="7" w:color="4C2BBF"/>
        </w:pBdr>
      </w:pPr>
      <w:r>
        <w:t>Response Rules</w:t>
      </w:r>
    </w:p>
    <w:p>
      <w:pPr>
        <w:pStyle w:val="ListBullet"/>
      </w:pPr>
      <w:r>
        <w:t>Stop or isolate any change that threatens book data, API keys, or the ability to read an imported EPUB.</w:t>
      </w:r>
    </w:p>
    <w:p>
      <w:pPr>
        <w:pStyle w:val="ListBullet"/>
      </w:pPr>
      <w:r>
        <w:t>Prefer a smaller working mode over a visually richer mode that crashes or blocks the reader.</w:t>
      </w:r>
    </w:p>
    <w:p>
      <w:pPr>
        <w:pStyle w:val="ListBullet"/>
      </w:pPr>
      <w:r>
        <w:t>Record the trigger, decision, owner, and outcome in the weekly progress notes.</w:t>
      </w:r>
    </w:p>
    <w:p>
      <w:pPr>
        <w:pStyle w:val="ListBullet"/>
      </w:pPr>
      <w:r>
        <w:t>Escalate any high-impact risk that remains open for two consecutive weekly reviews.</w:t>
      </w:r>
    </w:p>
    <w:p>
      <w:pPr>
        <w:pStyle w:val="ListBullet"/>
      </w:pPr>
      <w:r>
        <w:t>Reassess probability and impact after mitigation is implemented.</w:t>
      </w:r>
    </w:p>
    <w:p>
      <w:pPr>
        <w:pStyle w:val="Heading1"/>
        <w:pBdr>
          <w:bottom w:val="single" w:sz="18" w:space="7" w:color="4C2BBF"/>
        </w:pBdr>
      </w:pPr>
      <w:r>
        <w:t>Ownership and Review</w:t>
      </w:r>
    </w:p>
    <w:p>
      <w:r>
        <w:t>The student developer owns the register and reviews it every week. Technical risks are checked during implementation and targeted validation; schedule and scope risks are checked against the Gantt chart. Any activated contingency becomes the next priority until the core StoryTale reading flow is stable again.</w:t>
      </w:r>
    </w:p>
    <w:sectPr w:rsidR="00FC693F" w:rsidRPr="0006063C" w:rsidSect="00034616">
      <w:footerReference w:type="default" r:id="rId9"/>
      <w:pgSz w:w="12240" w:h="15840"/>
      <w:pgMar w:top="835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F5A6B"/>
        <w:sz w:val="16"/>
      </w:rPr>
      <w:t xml:space="preserve">StoryTale  |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color w:val="1714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4C2B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142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4C2B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StoryTale Risk Assessment and Contingency Plan</dc:title>
  <dc:subject>IT Elect 4 - StoryTale Project Management</dc:subject>
  <dc:creator>John Benedict S. Alejo</dc:creator>
  <cp:keywords>StoryTale, project management, timeline, milestones, risk plan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