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Entregable1-Joan-Bernat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GAME OBJECT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Esfera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Localizada en: el centro del cuerpo, lateral de los pies, puntas de las metralletas, botones traseros.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Cilindros de escala Dif (1,1,1)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Llamados como circuito, situados como juntas de las extremidades y cuello.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Cubo de rotación Dif (0,0,0)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Llamados como metralletas, y situados en la parte lateral superior del cuerpo.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Capusla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situadas en los ojos y en los botones traseros.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TEXTURA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Transparencia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Situada en el material de ojos y esfera central, tintada de color amarillo.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cualquiera de las texturas son diferentes al blanco.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Textura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Todos los materiales llevan una textura, excepto el material llamado interruptor.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