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Manufacturing Readiness Levels (MRL)</w:t>
      </w:r>
    </w:p>
    <w:p>
      <w:pPr>
        <w:pStyle w:val="Normal"/>
        <w:spacing w:before="0" w:after="480"/>
        <w:jc w:val="center"/>
        <w:rPr/>
      </w:pPr>
      <w:r>
        <w:rPr>
          <w:i/>
          <w:iCs/>
          <w:sz w:val="28"/>
          <w:szCs w:val="28"/>
        </w:rPr>
        <w:t>A Framework for Assessing Production Maturation</w:t>
      </w:r>
    </w:p>
    <w:p>
      <w:pPr>
        <w:pStyle w:val="Heading1"/>
        <w:rPr/>
      </w:pPr>
      <w:r>
        <w:rPr/>
        <w:t>Introduction</w:t>
      </w:r>
    </w:p>
    <w:p>
      <w:pPr>
        <w:pStyle w:val="Normal"/>
        <w:spacing w:before="0" w:after="200"/>
        <w:rPr/>
      </w:pPr>
      <w:r>
        <w:rPr/>
        <w:t>Organizations lose 70-80% of their ability to influence product costs once designs reach the engineering and manufacturing development phase, yet Government Accountability Office analyses reveal that defense programs consistently delay manufacturing considerations until precisely this point—when problems emerge as costly production disruptions rather than manageable development risks. Manufacturing Readiness Levels provide a systematic framework for preventing this disconnect, integrating manufacturing expertise throughout product development and providing objective metrics to assess production capability before committing to volume manufacturing.</w:t>
      </w:r>
    </w:p>
    <w:p>
      <w:pPr>
        <w:pStyle w:val="Normal"/>
        <w:spacing w:before="0" w:after="200"/>
        <w:rPr/>
      </w:pPr>
      <w:r>
        <w:rPr/>
        <w:t xml:space="preserve">Readiness tracking answers one essential question: </w:t>
      </w:r>
      <w:r>
        <w:rPr>
          <w:i/>
          <w:iCs/>
        </w:rPr>
        <w:t xml:space="preserve">how far has the program progressed toward production capability? </w:t>
      </w:r>
      <w:r>
        <w:rPr/>
        <w:t xml:space="preserve">But a second question proves equally critical: </w:t>
      </w:r>
      <w:r>
        <w:rPr>
          <w:i/>
          <w:iCs/>
        </w:rPr>
        <w:t xml:space="preserve">how inherently difficult is this manufacturing challenge? </w:t>
      </w:r>
      <w:r>
        <w:rPr/>
        <w:t>These are independent dimensions. A program can be highly ready on a simple challenge or minimally ready on a frontier one—and the risk profiles differ dramatically. This document addresses readiness assessment methodology. A companion framework, Manufacturing Technical Level (MTL), addresses complexity assessment. Together they provide the complete picture of industrialization risk.</w:t>
      </w:r>
    </w:p>
    <w:p>
      <w:pPr>
        <w:pStyle w:val="Callout"/>
        <w:rPr/>
      </w:pPr>
      <w:r>
        <w:rPr/>
        <w:t>Where MRL categories ask "how far along the stages of manufacturing maturation have we progressed," MTL asks "how mountainous is the terrain at each stage." A program completing MRL Category 2 on an MTL 2 component has retired most of its manufacturing risk. The same Category 2 completion on an MTL 5 component may represent less than half the journey.</w:t>
      </w:r>
    </w:p>
    <w:p>
      <w:pPr>
        <w:pStyle w:val="Normal"/>
        <w:spacing w:before="0" w:after="200"/>
        <w:rPr/>
      </w:pPr>
      <w:r>
        <w:rPr/>
        <w:t>The discipline has matured significantly since the Joint Defense Manufacturing Technology Panel established the Manufacturing Readiness Level framework in 2001. Today, manufacturing readiness tracking encompasses standardized assessment methodologies, integration with established product development frameworks like APQP, and organizational maturity models that help companies progress from reactive firefighting to proactive, data-driven manufacturing risk management.</w:t>
      </w:r>
    </w:p>
    <w:p>
      <w:pPr>
        <w:pStyle w:val="Heading1"/>
        <w:rPr/>
      </w:pPr>
      <w:r>
        <w:rPr/>
        <w:t>The Four-Category MRL Framework</w:t>
      </w:r>
    </w:p>
    <w:p>
      <w:pPr>
        <w:pStyle w:val="Normal"/>
        <w:spacing w:before="0" w:after="200"/>
        <w:rPr/>
      </w:pPr>
      <w:r>
        <w:rPr/>
        <w:t>The Department of Defense developed Manufacturing Readiness Levels to serve the same purpose for manufacturing as Technology Readiness Levels serve for technology maturity—creating a common metric and vocabulary across programs, contractors, and acquisition phases. While the MRL Deskbook defines ten discrete levels, practical application benefits from grouping these into four functional categories, each answering a distinct question about manufacturing maturation.</w:t>
      </w:r>
    </w:p>
    <w:p>
      <w:pPr>
        <w:pStyle w:val="Heading2"/>
        <w:rPr/>
      </w:pPr>
      <w:r>
        <w:rPr/>
        <w:t>Category 1: Manufacturing Feasibility Validated (MRL 1-3)</w:t>
      </w:r>
    </w:p>
    <w:p>
      <w:pPr>
        <w:pStyle w:val="Callout"/>
        <w:rPr/>
      </w:pPr>
      <w:r>
        <w:rPr>
          <w:b/>
          <w:bCs/>
        </w:rPr>
        <w:t xml:space="preserve">Unifying Question: </w:t>
      </w:r>
      <w:r>
        <w:rPr/>
        <w:t>Can this be manufactured?</w:t>
      </w:r>
    </w:p>
    <w:p>
      <w:pPr>
        <w:pStyle w:val="Normal"/>
        <w:spacing w:before="0" w:after="120"/>
        <w:rPr/>
      </w:pPr>
      <w:r>
        <w:rPr/>
        <w:t>Research, paper studies, and laboratory experiments establish that the manufacturing approach is conceptually sound. No hardware beyond experimental models exists at this stage.</w:t>
      </w:r>
    </w:p>
    <w:tbl>
      <w:tblPr>
        <w:tblW w:w="9360" w:type="dxa"/>
        <w:jc w:val="left"/>
        <w:tblInd w:w="0" w:type="dxa"/>
        <w:tblLayout w:type="fixed"/>
        <w:tblCellMar>
          <w:top w:w="0" w:type="dxa"/>
          <w:left w:w="108" w:type="dxa"/>
          <w:bottom w:w="0" w:type="dxa"/>
          <w:right w:w="108" w:type="dxa"/>
        </w:tblCellMar>
      </w:tblPr>
      <w:tblGrid>
        <w:gridCol w:w="2340"/>
        <w:gridCol w:w="7019"/>
      </w:tblGrid>
      <w:tr>
        <w:trPr>
          <w:tblHeader w:val="true"/>
        </w:trPr>
        <w:tc>
          <w:tcPr>
            <w:tcW w:w="2340" w:type="dxa"/>
            <w:tcBorders>
              <w:top w:val="single" w:sz="2" w:space="0" w:color="999999"/>
              <w:left w:val="single" w:sz="2" w:space="0" w:color="999999"/>
              <w:bottom w:val="single" w:sz="2" w:space="0" w:color="999999"/>
              <w:right w:val="single" w:sz="2" w:space="0" w:color="999999"/>
            </w:tcBorders>
            <w:shd w:fill="E8E8E8" w:val="clear"/>
          </w:tcPr>
          <w:p>
            <w:pPr>
              <w:pStyle w:val="Normal"/>
              <w:rPr/>
            </w:pPr>
            <w:r>
              <w:rPr>
                <w:b/>
                <w:bCs/>
              </w:rPr>
              <w:t>Level</w:t>
            </w:r>
          </w:p>
        </w:tc>
        <w:tc>
          <w:tcPr>
            <w:tcW w:w="7019" w:type="dxa"/>
            <w:tcBorders>
              <w:top w:val="single" w:sz="2" w:space="0" w:color="999999"/>
              <w:left w:val="single" w:sz="2" w:space="0" w:color="999999"/>
              <w:bottom w:val="single" w:sz="2" w:space="0" w:color="999999"/>
              <w:right w:val="single" w:sz="2" w:space="0" w:color="999999"/>
            </w:tcBorders>
            <w:shd w:fill="E8E8E8" w:val="clear"/>
          </w:tcPr>
          <w:p>
            <w:pPr>
              <w:pStyle w:val="Normal"/>
              <w:rPr/>
            </w:pPr>
            <w:r>
              <w:rPr>
                <w:b/>
                <w:bCs/>
              </w:rPr>
              <w:t>Definition</w:t>
            </w:r>
          </w:p>
        </w:tc>
      </w:tr>
      <w:tr>
        <w:trPr/>
        <w:tc>
          <w:tcPr>
            <w:tcW w:w="2340" w:type="dxa"/>
            <w:tcBorders>
              <w:top w:val="single" w:sz="2" w:space="0" w:color="999999"/>
              <w:left w:val="single" w:sz="2" w:space="0" w:color="999999"/>
              <w:bottom w:val="single" w:sz="2" w:space="0" w:color="999999"/>
              <w:right w:val="single" w:sz="2" w:space="0" w:color="999999"/>
            </w:tcBorders>
          </w:tcPr>
          <w:p>
            <w:pPr>
              <w:pStyle w:val="Normal"/>
              <w:rPr/>
            </w:pPr>
            <w:r>
              <w:rPr/>
              <w:t>MRL 1</w:t>
            </w:r>
          </w:p>
        </w:tc>
        <w:tc>
          <w:tcPr>
            <w:tcW w:w="7019" w:type="dxa"/>
            <w:tcBorders>
              <w:top w:val="single" w:sz="2" w:space="0" w:color="999999"/>
              <w:left w:val="single" w:sz="2" w:space="0" w:color="999999"/>
              <w:bottom w:val="single" w:sz="2" w:space="0" w:color="999999"/>
              <w:right w:val="single" w:sz="2" w:space="0" w:color="999999"/>
            </w:tcBorders>
          </w:tcPr>
          <w:p>
            <w:pPr>
              <w:pStyle w:val="Normal"/>
              <w:rPr/>
            </w:pPr>
            <w:r>
              <w:rPr/>
              <w:t>Basic Manufacturing Implications Identified</w:t>
            </w:r>
          </w:p>
        </w:tc>
      </w:tr>
      <w:tr>
        <w:trPr/>
        <w:tc>
          <w:tcPr>
            <w:tcW w:w="2340" w:type="dxa"/>
            <w:tcBorders>
              <w:top w:val="single" w:sz="2" w:space="0" w:color="999999"/>
              <w:left w:val="single" w:sz="2" w:space="0" w:color="999999"/>
              <w:bottom w:val="single" w:sz="2" w:space="0" w:color="999999"/>
              <w:right w:val="single" w:sz="2" w:space="0" w:color="999999"/>
            </w:tcBorders>
          </w:tcPr>
          <w:p>
            <w:pPr>
              <w:pStyle w:val="Normal"/>
              <w:rPr/>
            </w:pPr>
            <w:r>
              <w:rPr/>
              <w:t>MRL 2</w:t>
            </w:r>
          </w:p>
        </w:tc>
        <w:tc>
          <w:tcPr>
            <w:tcW w:w="7019" w:type="dxa"/>
            <w:tcBorders>
              <w:top w:val="single" w:sz="2" w:space="0" w:color="999999"/>
              <w:left w:val="single" w:sz="2" w:space="0" w:color="999999"/>
              <w:bottom w:val="single" w:sz="2" w:space="0" w:color="999999"/>
              <w:right w:val="single" w:sz="2" w:space="0" w:color="999999"/>
            </w:tcBorders>
          </w:tcPr>
          <w:p>
            <w:pPr>
              <w:pStyle w:val="Normal"/>
              <w:rPr/>
            </w:pPr>
            <w:r>
              <w:rPr/>
              <w:t>Manufacturing Concepts Identified</w:t>
            </w:r>
          </w:p>
        </w:tc>
      </w:tr>
      <w:tr>
        <w:trPr/>
        <w:tc>
          <w:tcPr>
            <w:tcW w:w="2340" w:type="dxa"/>
            <w:tcBorders>
              <w:top w:val="single" w:sz="2" w:space="0" w:color="999999"/>
              <w:left w:val="single" w:sz="2" w:space="0" w:color="999999"/>
              <w:bottom w:val="single" w:sz="2" w:space="0" w:color="999999"/>
              <w:right w:val="single" w:sz="2" w:space="0" w:color="999999"/>
            </w:tcBorders>
          </w:tcPr>
          <w:p>
            <w:pPr>
              <w:pStyle w:val="Normal"/>
              <w:rPr/>
            </w:pPr>
            <w:r>
              <w:rPr/>
              <w:t>MRL 3</w:t>
            </w:r>
          </w:p>
        </w:tc>
        <w:tc>
          <w:tcPr>
            <w:tcW w:w="7019" w:type="dxa"/>
            <w:tcBorders>
              <w:top w:val="single" w:sz="2" w:space="0" w:color="999999"/>
              <w:left w:val="single" w:sz="2" w:space="0" w:color="999999"/>
              <w:bottom w:val="single" w:sz="2" w:space="0" w:color="999999"/>
              <w:right w:val="single" w:sz="2" w:space="0" w:color="999999"/>
            </w:tcBorders>
          </w:tcPr>
          <w:p>
            <w:pPr>
              <w:pStyle w:val="Normal"/>
              <w:rPr/>
            </w:pPr>
            <w:r>
              <w:rPr/>
              <w:t>Manufacturing Proof of Concept Developed</w:t>
            </w:r>
          </w:p>
        </w:tc>
      </w:tr>
    </w:tbl>
    <w:p>
      <w:pPr>
        <w:pStyle w:val="Normal"/>
        <w:spacing w:before="200" w:after="200"/>
        <w:rPr/>
      </w:pPr>
      <w:r>
        <w:rPr>
          <w:b/>
          <w:bCs/>
        </w:rPr>
        <w:t xml:space="preserve">MTL Interaction: </w:t>
      </w:r>
      <w:r>
        <w:rPr/>
        <w:t>At Category 1, preliminary MTL screening informs feasibility judgment. An MTL 1-2 component requires standard feasibility assessment. An MTL 4-5 component demands manufacturing R&amp;D scope definition—the question is not merely "can this be manufactured" but "what research program is required to answer that question."</w:t>
      </w:r>
    </w:p>
    <w:p>
      <w:pPr>
        <w:pStyle w:val="Heading2"/>
        <w:rPr/>
      </w:pPr>
      <w:r>
        <w:rPr/>
        <w:t>Category 2: Prototype Capability Demonstrated (MRL 4-6)</w:t>
      </w:r>
    </w:p>
    <w:p>
      <w:pPr>
        <w:pStyle w:val="Callout"/>
        <w:rPr/>
      </w:pPr>
      <w:r>
        <w:rPr>
          <w:b/>
          <w:bCs/>
        </w:rPr>
        <w:t xml:space="preserve">Unifying Question: </w:t>
      </w:r>
      <w:r>
        <w:rPr/>
        <w:t>Can we build prototypes with increasing production realism?</w:t>
      </w:r>
    </w:p>
    <w:p>
      <w:pPr>
        <w:pStyle w:val="Normal"/>
        <w:spacing w:before="0" w:after="120"/>
        <w:rPr/>
      </w:pPr>
      <w:r>
        <w:rPr/>
        <w:t>Progression moves from laboratory bench to production-relevant environment. Cost models are constructed, supply chain elements identified, and producibility assessments completed.</w:t>
      </w:r>
    </w:p>
    <w:tbl>
      <w:tblPr>
        <w:tblW w:w="9360" w:type="dxa"/>
        <w:jc w:val="left"/>
        <w:tblInd w:w="0" w:type="dxa"/>
        <w:tblLayout w:type="fixed"/>
        <w:tblCellMar>
          <w:top w:w="0" w:type="dxa"/>
          <w:left w:w="108" w:type="dxa"/>
          <w:bottom w:w="0" w:type="dxa"/>
          <w:right w:w="108" w:type="dxa"/>
        </w:tblCellMar>
      </w:tblPr>
      <w:tblGrid>
        <w:gridCol w:w="2340"/>
        <w:gridCol w:w="7019"/>
      </w:tblGrid>
      <w:tr>
        <w:trPr>
          <w:tblHeader w:val="true"/>
        </w:trPr>
        <w:tc>
          <w:tcPr>
            <w:tcW w:w="2340"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Level</w:t>
            </w:r>
          </w:p>
        </w:tc>
        <w:tc>
          <w:tcPr>
            <w:tcW w:w="701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Definition</w:t>
            </w:r>
          </w:p>
        </w:tc>
      </w:tr>
      <w:tr>
        <w:trPr>
          <w:trHeight w:val="536"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MRL 4</w:t>
            </w:r>
          </w:p>
        </w:tc>
        <w:tc>
          <w:tcPr>
            <w:tcW w:w="7019"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Capability to Produce Technology in Laboratory Environment</w:t>
            </w:r>
          </w:p>
        </w:tc>
      </w:tr>
      <w:tr>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MRL 5</w:t>
            </w:r>
          </w:p>
        </w:tc>
        <w:tc>
          <w:tcPr>
            <w:tcW w:w="7019"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Capability to Produce Prototype Components in Production Relevant Environment</w:t>
            </w:r>
          </w:p>
        </w:tc>
      </w:tr>
      <w:tr>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MRL 6</w:t>
            </w:r>
          </w:p>
        </w:tc>
        <w:tc>
          <w:tcPr>
            <w:tcW w:w="7019"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Capability to Produce Prototype System/Subsystem in Production Relevant Environment</w:t>
            </w:r>
          </w:p>
        </w:tc>
      </w:tr>
    </w:tbl>
    <w:p>
      <w:pPr>
        <w:pStyle w:val="Normal"/>
        <w:spacing w:before="200" w:after="200"/>
        <w:rPr/>
      </w:pPr>
      <w:r>
        <w:rPr>
          <w:b/>
          <w:bCs/>
        </w:rPr>
        <w:t xml:space="preserve">MTL Interaction: </w:t>
      </w:r>
      <w:r>
        <w:rPr/>
        <w:t>Category 2 activities should be scaled to MTL complexity. MTL 1-2 components proceed through standard prototype builds. MTL 3 components require DOE-driven process characterization—varying temperature, speed, pressure, and other key variables to find the edges of failure. MTL 4-5 components demand dedicated technical ownership and iterative learning builds where the purpose is knowledge generation, not merely part production.</w:t>
      </w:r>
    </w:p>
    <w:p>
      <w:pPr>
        <w:pStyle w:val="Heading2"/>
        <w:rPr/>
      </w:pPr>
      <w:r>
        <w:rPr/>
        <w:t>Category 3: Production System Validated (MRL 7-8)</w:t>
      </w:r>
    </w:p>
    <w:p>
      <w:pPr>
        <w:pStyle w:val="Callout"/>
        <w:rPr/>
      </w:pPr>
      <w:r>
        <w:rPr>
          <w:b/>
          <w:bCs/>
        </w:rPr>
        <w:t xml:space="preserve">Unifying Question: </w:t>
      </w:r>
      <w:r>
        <w:rPr/>
        <w:t>Is the production system ready?</w:t>
      </w:r>
    </w:p>
    <w:p>
      <w:pPr>
        <w:pStyle w:val="Normal"/>
        <w:spacing w:before="0" w:after="120"/>
        <w:rPr/>
      </w:pPr>
      <w:r>
        <w:rPr/>
        <w:t>Manufacturing processes are proven in environments approaching full production realism. Tooling, test equipment, supplier quality, and control plans are validated. Pilot line demonstrates readiness to commit to actual production.</w:t>
      </w:r>
    </w:p>
    <w:p>
      <w:pPr>
        <w:pStyle w:val="Normal"/>
        <w:spacing w:before="0" w:after="120"/>
        <w:rPr/>
      </w:pPr>
      <w:r>
        <w:rPr/>
      </w:r>
    </w:p>
    <w:tbl>
      <w:tblPr>
        <w:tblW w:w="9360" w:type="dxa"/>
        <w:jc w:val="left"/>
        <w:tblInd w:w="0" w:type="dxa"/>
        <w:tblLayout w:type="fixed"/>
        <w:tblCellMar>
          <w:top w:w="0" w:type="dxa"/>
          <w:left w:w="108" w:type="dxa"/>
          <w:bottom w:w="0" w:type="dxa"/>
          <w:right w:w="108" w:type="dxa"/>
        </w:tblCellMar>
      </w:tblPr>
      <w:tblGrid>
        <w:gridCol w:w="2340"/>
        <w:gridCol w:w="7019"/>
      </w:tblGrid>
      <w:tr>
        <w:trPr>
          <w:tblHeader w:val="true"/>
        </w:trPr>
        <w:tc>
          <w:tcPr>
            <w:tcW w:w="2340"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Level</w:t>
            </w:r>
          </w:p>
        </w:tc>
        <w:tc>
          <w:tcPr>
            <w:tcW w:w="701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Definition</w:t>
            </w:r>
          </w:p>
        </w:tc>
      </w:tr>
      <w:tr>
        <w:trPr>
          <w:trHeight w:val="547"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MRL 7</w:t>
            </w:r>
          </w:p>
        </w:tc>
        <w:tc>
          <w:tcPr>
            <w:tcW w:w="7019" w:type="dxa"/>
            <w:tcBorders>
              <w:top w:val="single" w:sz="2" w:space="0" w:color="999999"/>
              <w:left w:val="single" w:sz="2" w:space="0" w:color="999999"/>
              <w:bottom w:val="single" w:sz="2" w:space="0" w:color="999999"/>
              <w:right w:val="single" w:sz="2" w:space="0" w:color="999999"/>
            </w:tcBorders>
            <w:vAlign w:val="center"/>
          </w:tcPr>
          <w:p>
            <w:pPr>
              <w:pStyle w:val="Normal"/>
              <w:rPr/>
            </w:pPr>
            <w:r>
              <w:rPr/>
              <w:t>Capability to Produce in Production Equivalent Environment</w:t>
            </w:r>
          </w:p>
        </w:tc>
      </w:tr>
      <w:tr>
        <w:trPr>
          <w:trHeight w:val="536"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MRL 8</w:t>
            </w:r>
          </w:p>
        </w:tc>
        <w:tc>
          <w:tcPr>
            <w:tcW w:w="7019" w:type="dxa"/>
            <w:tcBorders>
              <w:top w:val="single" w:sz="2" w:space="0" w:color="999999"/>
              <w:left w:val="single" w:sz="2" w:space="0" w:color="999999"/>
              <w:bottom w:val="single" w:sz="2" w:space="0" w:color="999999"/>
              <w:right w:val="single" w:sz="2" w:space="0" w:color="999999"/>
            </w:tcBorders>
            <w:vAlign w:val="center"/>
          </w:tcPr>
          <w:p>
            <w:pPr>
              <w:pStyle w:val="Normal"/>
              <w:rPr/>
            </w:pPr>
            <w:r>
              <w:rPr/>
              <w:t>Pilot Line Capability Demonstrated; Ready for LRIP</w:t>
            </w:r>
          </w:p>
        </w:tc>
      </w:tr>
    </w:tbl>
    <w:p>
      <w:pPr>
        <w:pStyle w:val="Normal"/>
        <w:spacing w:before="200" w:after="200"/>
        <w:rPr/>
      </w:pPr>
      <w:r>
        <w:rPr>
          <w:b/>
          <w:bCs/>
        </w:rPr>
        <w:t xml:space="preserve">MTL Interaction: </w:t>
      </w:r>
      <w:r>
        <w:rPr/>
        <w:t>Category 3 evidence requirements must be calibrated to complexity. MTL 1-2 items proceed through streamlined qualification emphasizing supplier capability and basic process documentation. MTL 3 items require extended capability studies and more detailed control plans. MTL 4-5 items demand intensive qualification including extended process capability analysis, detailed measurement system validation, and potentially on-site supplier manufacturing reviews.</w:t>
      </w:r>
    </w:p>
    <w:p>
      <w:pPr>
        <w:pStyle w:val="Heading2"/>
        <w:rPr/>
      </w:pPr>
      <w:r>
        <w:rPr/>
        <w:t>Category 4: Production Rates Demonstrated (MRL 9-10)</w:t>
      </w:r>
    </w:p>
    <w:p>
      <w:pPr>
        <w:pStyle w:val="Callout"/>
        <w:rPr/>
      </w:pPr>
      <w:r>
        <w:rPr>
          <w:b/>
          <w:bCs/>
        </w:rPr>
        <w:t xml:space="preserve">Unifying Question: </w:t>
      </w:r>
      <w:r>
        <w:rPr/>
        <w:t>Can we produce at volume?</w:t>
      </w:r>
    </w:p>
    <w:p>
      <w:pPr>
        <w:pStyle w:val="Normal"/>
        <w:spacing w:before="0" w:after="120"/>
        <w:rPr/>
      </w:pPr>
      <w:r>
        <w:rPr/>
        <w:t>Actual production validates learning curves, cost targets, and process capability. Progression moves from low-rate initial production confirmation to stable full-rate production with continuous improvement.</w:t>
      </w:r>
    </w:p>
    <w:tbl>
      <w:tblPr>
        <w:tblW w:w="9360" w:type="dxa"/>
        <w:jc w:val="left"/>
        <w:tblInd w:w="0" w:type="dxa"/>
        <w:tblLayout w:type="fixed"/>
        <w:tblCellMar>
          <w:top w:w="0" w:type="dxa"/>
          <w:left w:w="108" w:type="dxa"/>
          <w:bottom w:w="0" w:type="dxa"/>
          <w:right w:w="108" w:type="dxa"/>
        </w:tblCellMar>
      </w:tblPr>
      <w:tblGrid>
        <w:gridCol w:w="2340"/>
        <w:gridCol w:w="7019"/>
      </w:tblGrid>
      <w:tr>
        <w:trPr>
          <w:tblHeader w:val="true"/>
        </w:trPr>
        <w:tc>
          <w:tcPr>
            <w:tcW w:w="2340"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Level</w:t>
            </w:r>
          </w:p>
        </w:tc>
        <w:tc>
          <w:tcPr>
            <w:tcW w:w="701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Definition</w:t>
            </w:r>
          </w:p>
        </w:tc>
      </w:tr>
      <w:tr>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MRL 9</w:t>
            </w:r>
          </w:p>
        </w:tc>
        <w:tc>
          <w:tcPr>
            <w:tcW w:w="7019" w:type="dxa"/>
            <w:tcBorders>
              <w:top w:val="single" w:sz="2" w:space="0" w:color="999999"/>
              <w:left w:val="single" w:sz="2" w:space="0" w:color="999999"/>
              <w:bottom w:val="single" w:sz="2" w:space="0" w:color="999999"/>
              <w:right w:val="single" w:sz="2" w:space="0" w:color="999999"/>
            </w:tcBorders>
            <w:vAlign w:val="center"/>
          </w:tcPr>
          <w:p>
            <w:pPr>
              <w:pStyle w:val="Normal"/>
              <w:rPr/>
            </w:pPr>
            <w:r>
              <w:rPr/>
              <w:t>Low Rate Production Demonstrated; Ready for Full Rate Production</w:t>
            </w:r>
          </w:p>
        </w:tc>
      </w:tr>
      <w:tr>
        <w:trPr>
          <w:trHeight w:val="604"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MRL 10</w:t>
            </w:r>
          </w:p>
        </w:tc>
        <w:tc>
          <w:tcPr>
            <w:tcW w:w="7019" w:type="dxa"/>
            <w:tcBorders>
              <w:top w:val="single" w:sz="2" w:space="0" w:color="999999"/>
              <w:left w:val="single" w:sz="2" w:space="0" w:color="999999"/>
              <w:bottom w:val="single" w:sz="2" w:space="0" w:color="999999"/>
              <w:right w:val="single" w:sz="2" w:space="0" w:color="999999"/>
            </w:tcBorders>
            <w:vAlign w:val="center"/>
          </w:tcPr>
          <w:p>
            <w:pPr>
              <w:pStyle w:val="Normal"/>
              <w:rPr/>
            </w:pPr>
            <w:r>
              <w:rPr/>
              <w:t>Full Rate Production Demonstrated; Lean Practices in Place</w:t>
            </w:r>
          </w:p>
        </w:tc>
      </w:tr>
    </w:tbl>
    <w:p>
      <w:pPr>
        <w:pStyle w:val="Normal"/>
        <w:spacing w:before="200" w:after="200"/>
        <w:rPr/>
      </w:pPr>
      <w:r>
        <w:rPr>
          <w:b/>
          <w:bCs/>
        </w:rPr>
        <w:t xml:space="preserve">MTL Interaction: </w:t>
      </w:r>
      <w:r>
        <w:rPr/>
        <w:t>Category 4 ramp governance should reflect complexity. MTL 1-2 components follow standard ramp schedules. MTL 3 components warrant monitored ramp with explicit hold points for quality confirmation. MTL 4-5 components require staged ramp with enhanced containment protocols and FRACAS-linked learning capture where production anomalies trigger systematic investigation proportionate to complexity.</w:t>
      </w:r>
    </w:p>
    <w:p>
      <w:pPr>
        <w:pStyle w:val="Heading2"/>
        <w:rPr/>
      </w:pPr>
      <w:r>
        <w:rPr/>
        <w:t>Environment Progression as Integration Point</w:t>
      </w:r>
    </w:p>
    <w:p>
      <w:pPr>
        <w:pStyle w:val="Normal"/>
        <w:spacing w:before="0" w:after="200"/>
        <w:rPr/>
      </w:pPr>
      <w:r>
        <w:rPr/>
        <w:t>An alternative lens organizes MRL around the environment definitions used in DoD acquisition. This view proves particularly useful for understanding how MTL complexity affects the difficulty of progressing through environments.</w:t>
      </w:r>
    </w:p>
    <w:tbl>
      <w:tblPr>
        <w:tblW w:w="9360" w:type="dxa"/>
        <w:jc w:val="left"/>
        <w:tblInd w:w="0" w:type="dxa"/>
        <w:tblLayout w:type="fixed"/>
        <w:tblCellMar>
          <w:top w:w="0" w:type="dxa"/>
          <w:left w:w="108" w:type="dxa"/>
          <w:bottom w:w="0" w:type="dxa"/>
          <w:right w:w="108" w:type="dxa"/>
        </w:tblCellMar>
      </w:tblPr>
      <w:tblGrid>
        <w:gridCol w:w="2340"/>
        <w:gridCol w:w="1798"/>
        <w:gridCol w:w="5222"/>
      </w:tblGrid>
      <w:tr>
        <w:trPr>
          <w:tblHeader w:val="true"/>
          <w:trHeight w:val="554" w:hRule="atLeast"/>
        </w:trPr>
        <w:tc>
          <w:tcPr>
            <w:tcW w:w="2340"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Environment</w:t>
            </w:r>
          </w:p>
        </w:tc>
        <w:tc>
          <w:tcPr>
            <w:tcW w:w="1798"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MRL Range</w:t>
            </w:r>
          </w:p>
        </w:tc>
        <w:tc>
          <w:tcPr>
            <w:tcW w:w="5222"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Characterization</w:t>
            </w:r>
          </w:p>
        </w:tc>
      </w:tr>
      <w:tr>
        <w:trPr>
          <w:trHeight w:val="554"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Laboratory</w:t>
            </w:r>
          </w:p>
        </w:tc>
        <w:tc>
          <w:tcPr>
            <w:tcW w:w="1798" w:type="dxa"/>
            <w:tcBorders>
              <w:top w:val="single" w:sz="2" w:space="0" w:color="999999"/>
              <w:left w:val="single" w:sz="2" w:space="0" w:color="999999"/>
              <w:bottom w:val="single" w:sz="2" w:space="0" w:color="999999"/>
              <w:right w:val="single" w:sz="2" w:space="0" w:color="999999"/>
            </w:tcBorders>
            <w:vAlign w:val="center"/>
          </w:tcPr>
          <w:p>
            <w:pPr>
              <w:pStyle w:val="Normal"/>
              <w:rPr/>
            </w:pPr>
            <w:r>
              <w:rPr/>
              <w:t>1-4</w:t>
            </w:r>
          </w:p>
        </w:tc>
        <w:tc>
          <w:tcPr>
            <w:tcW w:w="5222" w:type="dxa"/>
            <w:tcBorders>
              <w:top w:val="single" w:sz="2" w:space="0" w:color="999999"/>
              <w:left w:val="single" w:sz="2" w:space="0" w:color="999999"/>
              <w:bottom w:val="single" w:sz="2" w:space="0" w:color="999999"/>
              <w:right w:val="single" w:sz="2" w:space="0" w:color="999999"/>
            </w:tcBorders>
            <w:vAlign w:val="center"/>
          </w:tcPr>
          <w:p>
            <w:pPr>
              <w:pStyle w:val="Normal"/>
              <w:rPr/>
            </w:pPr>
            <w:r>
              <w:rPr/>
              <w:t>Feasibility and early capability demonstration</w:t>
            </w:r>
          </w:p>
        </w:tc>
      </w:tr>
      <w:tr>
        <w:trPr>
          <w:trHeight w:val="554"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Production Relevant</w:t>
            </w:r>
          </w:p>
        </w:tc>
        <w:tc>
          <w:tcPr>
            <w:tcW w:w="1798" w:type="dxa"/>
            <w:tcBorders>
              <w:top w:val="single" w:sz="2" w:space="0" w:color="999999"/>
              <w:left w:val="single" w:sz="2" w:space="0" w:color="999999"/>
              <w:bottom w:val="single" w:sz="2" w:space="0" w:color="999999"/>
              <w:right w:val="single" w:sz="2" w:space="0" w:color="999999"/>
            </w:tcBorders>
            <w:vAlign w:val="center"/>
          </w:tcPr>
          <w:p>
            <w:pPr>
              <w:pStyle w:val="Normal"/>
              <w:rPr/>
            </w:pPr>
            <w:r>
              <w:rPr/>
              <w:t>5-6</w:t>
            </w:r>
          </w:p>
        </w:tc>
        <w:tc>
          <w:tcPr>
            <w:tcW w:w="5222" w:type="dxa"/>
            <w:tcBorders>
              <w:top w:val="single" w:sz="2" w:space="0" w:color="999999"/>
              <w:left w:val="single" w:sz="2" w:space="0" w:color="999999"/>
              <w:bottom w:val="single" w:sz="2" w:space="0" w:color="999999"/>
              <w:right w:val="single" w:sz="2" w:space="0" w:color="999999"/>
            </w:tcBorders>
            <w:vAlign w:val="center"/>
          </w:tcPr>
          <w:p>
            <w:pPr>
              <w:pStyle w:val="Normal"/>
              <w:rPr/>
            </w:pPr>
            <w:r>
              <w:rPr/>
              <w:t>Some shop floor realism; prototype production</w:t>
            </w:r>
          </w:p>
        </w:tc>
      </w:tr>
      <w:tr>
        <w:trPr>
          <w:trHeight w:val="554"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Production Equivalent</w:t>
            </w:r>
          </w:p>
        </w:tc>
        <w:tc>
          <w:tcPr>
            <w:tcW w:w="1798" w:type="dxa"/>
            <w:tcBorders>
              <w:top w:val="single" w:sz="2" w:space="0" w:color="999999"/>
              <w:left w:val="single" w:sz="2" w:space="0" w:color="999999"/>
              <w:bottom w:val="single" w:sz="2" w:space="0" w:color="999999"/>
              <w:right w:val="single" w:sz="2" w:space="0" w:color="999999"/>
            </w:tcBorders>
            <w:vAlign w:val="center"/>
          </w:tcPr>
          <w:p>
            <w:pPr>
              <w:pStyle w:val="Normal"/>
              <w:rPr/>
            </w:pPr>
            <w:r>
              <w:rPr/>
              <w:t>7</w:t>
            </w:r>
          </w:p>
        </w:tc>
        <w:tc>
          <w:tcPr>
            <w:tcW w:w="5222" w:type="dxa"/>
            <w:tcBorders>
              <w:top w:val="single" w:sz="2" w:space="0" w:color="999999"/>
              <w:left w:val="single" w:sz="2" w:space="0" w:color="999999"/>
              <w:bottom w:val="single" w:sz="2" w:space="0" w:color="999999"/>
              <w:right w:val="single" w:sz="2" w:space="0" w:color="999999"/>
            </w:tcBorders>
            <w:vAlign w:val="center"/>
          </w:tcPr>
          <w:p>
            <w:pPr>
              <w:pStyle w:val="Normal"/>
              <w:rPr/>
            </w:pPr>
            <w:r>
              <w:rPr/>
              <w:t>Full realism except rate; qualification hardware</w:t>
            </w:r>
          </w:p>
        </w:tc>
      </w:tr>
      <w:tr>
        <w:trPr>
          <w:trHeight w:val="554"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Pilot Line</w:t>
            </w:r>
          </w:p>
        </w:tc>
        <w:tc>
          <w:tcPr>
            <w:tcW w:w="1798" w:type="dxa"/>
            <w:tcBorders>
              <w:top w:val="single" w:sz="2" w:space="0" w:color="999999"/>
              <w:left w:val="single" w:sz="2" w:space="0" w:color="999999"/>
              <w:bottom w:val="single" w:sz="2" w:space="0" w:color="999999"/>
              <w:right w:val="single" w:sz="2" w:space="0" w:color="999999"/>
            </w:tcBorders>
            <w:vAlign w:val="center"/>
          </w:tcPr>
          <w:p>
            <w:pPr>
              <w:pStyle w:val="Normal"/>
              <w:rPr/>
            </w:pPr>
            <w:r>
              <w:rPr/>
              <w:t>8</w:t>
            </w:r>
          </w:p>
        </w:tc>
        <w:tc>
          <w:tcPr>
            <w:tcW w:w="5222" w:type="dxa"/>
            <w:tcBorders>
              <w:top w:val="single" w:sz="2" w:space="0" w:color="999999"/>
              <w:left w:val="single" w:sz="2" w:space="0" w:color="999999"/>
              <w:bottom w:val="single" w:sz="2" w:space="0" w:color="999999"/>
              <w:right w:val="single" w:sz="2" w:space="0" w:color="999999"/>
            </w:tcBorders>
            <w:vAlign w:val="center"/>
          </w:tcPr>
          <w:p>
            <w:pPr>
              <w:pStyle w:val="Normal"/>
              <w:rPr/>
            </w:pPr>
            <w:r>
              <w:rPr/>
              <w:t>All production elements; Low Rate Initial Production (LRIP)-ready</w:t>
            </w:r>
          </w:p>
        </w:tc>
      </w:tr>
      <w:tr>
        <w:trPr>
          <w:trHeight w:val="554" w:hRule="atLeast"/>
        </w:trPr>
        <w:tc>
          <w:tcPr>
            <w:tcW w:w="2340" w:type="dxa"/>
            <w:tcBorders>
              <w:top w:val="single" w:sz="2" w:space="0" w:color="999999"/>
              <w:left w:val="single" w:sz="2" w:space="0" w:color="999999"/>
              <w:bottom w:val="single" w:sz="2" w:space="0" w:color="999999"/>
              <w:right w:val="single" w:sz="2" w:space="0" w:color="999999"/>
            </w:tcBorders>
            <w:vAlign w:val="center"/>
          </w:tcPr>
          <w:p>
            <w:pPr>
              <w:pStyle w:val="Normal"/>
              <w:rPr/>
            </w:pPr>
            <w:r>
              <w:rPr/>
              <w:t>Production</w:t>
            </w:r>
          </w:p>
        </w:tc>
        <w:tc>
          <w:tcPr>
            <w:tcW w:w="1798" w:type="dxa"/>
            <w:tcBorders>
              <w:top w:val="single" w:sz="2" w:space="0" w:color="999999"/>
              <w:left w:val="single" w:sz="2" w:space="0" w:color="999999"/>
              <w:bottom w:val="single" w:sz="2" w:space="0" w:color="999999"/>
              <w:right w:val="single" w:sz="2" w:space="0" w:color="999999"/>
            </w:tcBorders>
            <w:vAlign w:val="center"/>
          </w:tcPr>
          <w:p>
            <w:pPr>
              <w:pStyle w:val="Normal"/>
              <w:rPr/>
            </w:pPr>
            <w:r>
              <w:rPr/>
              <w:t>9-10</w:t>
            </w:r>
          </w:p>
        </w:tc>
        <w:tc>
          <w:tcPr>
            <w:tcW w:w="5222" w:type="dxa"/>
            <w:tcBorders>
              <w:top w:val="single" w:sz="2" w:space="0" w:color="999999"/>
              <w:left w:val="single" w:sz="2" w:space="0" w:color="999999"/>
              <w:bottom w:val="single" w:sz="2" w:space="0" w:color="999999"/>
              <w:right w:val="single" w:sz="2" w:space="0" w:color="999999"/>
            </w:tcBorders>
            <w:vAlign w:val="center"/>
          </w:tcPr>
          <w:p>
            <w:pPr>
              <w:pStyle w:val="Normal"/>
              <w:rPr/>
            </w:pPr>
            <w:r>
              <w:rPr/>
              <w:t>Actual rate production demonstrated</w:t>
            </w:r>
          </w:p>
        </w:tc>
      </w:tr>
    </w:tbl>
    <w:p>
      <w:pPr>
        <w:pStyle w:val="Normal"/>
        <w:spacing w:before="200" w:after="200"/>
        <w:rPr/>
      </w:pPr>
      <w:r>
        <w:rPr/>
        <w:t>MTL complexity scores predict how difficult each environment transition will be. An MTL 2 component moves smoothly from laboratory to production relevant environment through standard parameter refinement. An MTL 4 component may require fundamental process development, specialist staffing, and purpose-built equipment to achieve the same transition. Organizations should budget environment transitions proportionate to MTL scores—a common mistake is assuming all components progress through environments at similar rates regardless of complexity.</w:t>
      </w:r>
    </w:p>
    <w:p>
      <w:pPr>
        <w:pStyle w:val="Heading1"/>
        <w:spacing w:before="0" w:after="180"/>
        <w:rPr/>
      </w:pPr>
      <w:r>
        <w:rPr/>
        <w:t>Complexity-Readiness Integration Matrix</w:t>
      </w:r>
    </w:p>
    <w:p>
      <w:pPr>
        <w:pStyle w:val="Normal"/>
        <w:spacing w:before="0" w:after="200"/>
        <w:rPr/>
      </w:pPr>
      <w:r>
        <w:rPr/>
        <w:t>The following matrix provides practical guidance for calibrating program behaviors based on the intersection of MRL category and MTL complexity score. Find your MTL column and MRL category row to understand appropriate governance intensity.</w:t>
      </w:r>
    </w:p>
    <w:tbl>
      <w:tblPr>
        <w:tblW w:w="9360" w:type="dxa"/>
        <w:jc w:val="left"/>
        <w:tblInd w:w="0" w:type="dxa"/>
        <w:tblLayout w:type="fixed"/>
        <w:tblCellMar>
          <w:top w:w="0" w:type="dxa"/>
          <w:left w:w="108" w:type="dxa"/>
          <w:bottom w:w="0" w:type="dxa"/>
          <w:right w:w="108" w:type="dxa"/>
        </w:tblCellMar>
      </w:tblPr>
      <w:tblGrid>
        <w:gridCol w:w="1798"/>
        <w:gridCol w:w="2521"/>
        <w:gridCol w:w="2521"/>
        <w:gridCol w:w="2519"/>
      </w:tblGrid>
      <w:tr>
        <w:trPr>
          <w:tblHeader w:val="true"/>
          <w:trHeight w:val="692" w:hRule="atLeast"/>
        </w:trPr>
        <w:tc>
          <w:tcPr>
            <w:tcW w:w="1798"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sz w:val="20"/>
                <w:szCs w:val="20"/>
              </w:rPr>
              <w:t>MRL Category</w:t>
            </w:r>
          </w:p>
        </w:tc>
        <w:tc>
          <w:tcPr>
            <w:tcW w:w="2521"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sz w:val="20"/>
                <w:szCs w:val="20"/>
              </w:rPr>
              <w:t>MTL 1-2 (Routine)</w:t>
            </w:r>
          </w:p>
        </w:tc>
        <w:tc>
          <w:tcPr>
            <w:tcW w:w="2521"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sz w:val="20"/>
                <w:szCs w:val="20"/>
              </w:rPr>
              <w:t>MTL 3 (Moderate)</w:t>
            </w:r>
          </w:p>
        </w:tc>
        <w:tc>
          <w:tcPr>
            <w:tcW w:w="251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sz w:val="20"/>
                <w:szCs w:val="20"/>
              </w:rPr>
              <w:t>MTL 4-5 (High/Frontier)</w:t>
            </w:r>
          </w:p>
        </w:tc>
      </w:tr>
      <w:tr>
        <w:trPr>
          <w:trHeight w:val="692" w:hRule="atLeast"/>
        </w:trPr>
        <w:tc>
          <w:tcPr>
            <w:tcW w:w="1798"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sz w:val="20"/>
                <w:szCs w:val="20"/>
              </w:rPr>
              <w:t>Category 1: Feasibility</w:t>
            </w:r>
          </w:p>
        </w:tc>
        <w:tc>
          <w:tcPr>
            <w:tcW w:w="2521"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Standard feasibility assessment</w:t>
            </w:r>
          </w:p>
        </w:tc>
        <w:tc>
          <w:tcPr>
            <w:tcW w:w="2521"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Extended producibility studies</w:t>
            </w:r>
          </w:p>
        </w:tc>
        <w:tc>
          <w:tcPr>
            <w:tcW w:w="2519"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Manufacturing R&amp;D scope definition</w:t>
            </w:r>
          </w:p>
        </w:tc>
      </w:tr>
      <w:tr>
        <w:trPr>
          <w:trHeight w:val="692" w:hRule="atLeast"/>
        </w:trPr>
        <w:tc>
          <w:tcPr>
            <w:tcW w:w="1798"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sz w:val="20"/>
                <w:szCs w:val="20"/>
              </w:rPr>
              <w:t>Category 2: Prototype</w:t>
            </w:r>
          </w:p>
        </w:tc>
        <w:tc>
          <w:tcPr>
            <w:tcW w:w="2521"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Standard prototype builds</w:t>
            </w:r>
          </w:p>
        </w:tc>
        <w:tc>
          <w:tcPr>
            <w:tcW w:w="2521"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DOE-driven process characterization</w:t>
            </w:r>
          </w:p>
        </w:tc>
        <w:tc>
          <w:tcPr>
            <w:tcW w:w="2519"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Dedicated technical ownership, iterative learning builds</w:t>
            </w:r>
          </w:p>
        </w:tc>
      </w:tr>
      <w:tr>
        <w:trPr>
          <w:trHeight w:val="692" w:hRule="atLeast"/>
        </w:trPr>
        <w:tc>
          <w:tcPr>
            <w:tcW w:w="1798"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sz w:val="20"/>
                <w:szCs w:val="20"/>
              </w:rPr>
              <w:t>Category 3: Validation</w:t>
            </w:r>
          </w:p>
        </w:tc>
        <w:tc>
          <w:tcPr>
            <w:tcW w:w="2521"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Streamlined qualification</w:t>
            </w:r>
          </w:p>
        </w:tc>
        <w:tc>
          <w:tcPr>
            <w:tcW w:w="2521"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Extended capability studies, detailed control plans</w:t>
            </w:r>
          </w:p>
        </w:tc>
        <w:tc>
          <w:tcPr>
            <w:tcW w:w="2519"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Intensive qualification, on-site supplier reviews, statistical validation</w:t>
            </w:r>
          </w:p>
        </w:tc>
      </w:tr>
      <w:tr>
        <w:trPr>
          <w:trHeight w:val="692" w:hRule="atLeast"/>
        </w:trPr>
        <w:tc>
          <w:tcPr>
            <w:tcW w:w="1798"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sz w:val="20"/>
                <w:szCs w:val="20"/>
              </w:rPr>
              <w:t>Category 4: Rate Production</w:t>
            </w:r>
          </w:p>
        </w:tc>
        <w:tc>
          <w:tcPr>
            <w:tcW w:w="2521"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Standard ramp</w:t>
            </w:r>
          </w:p>
        </w:tc>
        <w:tc>
          <w:tcPr>
            <w:tcW w:w="2521"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Monitored ramp with hold points</w:t>
            </w:r>
          </w:p>
        </w:tc>
        <w:tc>
          <w:tcPr>
            <w:tcW w:w="2519" w:type="dxa"/>
            <w:tcBorders>
              <w:top w:val="single" w:sz="2" w:space="0" w:color="999999"/>
              <w:left w:val="single" w:sz="2" w:space="0" w:color="999999"/>
              <w:bottom w:val="single" w:sz="2" w:space="0" w:color="999999"/>
              <w:right w:val="single" w:sz="2" w:space="0" w:color="999999"/>
            </w:tcBorders>
            <w:vAlign w:val="center"/>
          </w:tcPr>
          <w:p>
            <w:pPr>
              <w:pStyle w:val="Normal"/>
              <w:rPr/>
            </w:pPr>
            <w:r>
              <w:rPr>
                <w:sz w:val="20"/>
                <w:szCs w:val="20"/>
              </w:rPr>
              <w:t>Staged ramp, enhanced containment, FRACAS-linked learning</w:t>
            </w:r>
          </w:p>
        </w:tc>
      </w:tr>
    </w:tbl>
    <w:p>
      <w:pPr>
        <w:pStyle w:val="Heading1"/>
        <w:rPr/>
      </w:pPr>
      <w:r>
        <w:rPr/>
        <w:t>APQP Integration with MRL Categories</w:t>
      </w:r>
    </w:p>
    <w:p>
      <w:pPr>
        <w:pStyle w:val="Normal"/>
        <w:spacing w:before="0" w:after="200"/>
        <w:rPr/>
      </w:pPr>
      <w:r>
        <w:rPr/>
        <w:t>While MRL originated in defense acquisition, the automotive industry developed its own manufacturing readiness framework through Advanced Product Quality Planning. Published by the Automotive Industry Action Group, APQP reached its third edition in March 2024 with mandatory implementation by GM, Stellantis, and Ford throughout their supply chains. The four-category MRL structure maps directly to APQP phases, enabling organizations to use either vocabulary while maintaining common understanding.</w:t>
      </w:r>
    </w:p>
    <w:tbl>
      <w:tblPr>
        <w:tblW w:w="9360" w:type="dxa"/>
        <w:jc w:val="left"/>
        <w:tblInd w:w="0" w:type="dxa"/>
        <w:tblLayout w:type="fixed"/>
        <w:tblCellMar>
          <w:top w:w="0" w:type="dxa"/>
          <w:left w:w="108" w:type="dxa"/>
          <w:bottom w:w="0" w:type="dxa"/>
          <w:right w:w="108" w:type="dxa"/>
        </w:tblCellMar>
      </w:tblPr>
      <w:tblGrid>
        <w:gridCol w:w="2881"/>
        <w:gridCol w:w="2604"/>
        <w:gridCol w:w="3875"/>
      </w:tblGrid>
      <w:tr>
        <w:trPr>
          <w:tblHeader w:val="true"/>
          <w:trHeight w:val="557" w:hRule="atLeast"/>
        </w:trPr>
        <w:tc>
          <w:tcPr>
            <w:tcW w:w="2881"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sz w:val="20"/>
                <w:szCs w:val="20"/>
              </w:rPr>
            </w:pPr>
            <w:r>
              <w:rPr>
                <w:b/>
                <w:bCs/>
                <w:sz w:val="20"/>
                <w:szCs w:val="20"/>
              </w:rPr>
              <w:t>MRL Category</w:t>
            </w:r>
          </w:p>
        </w:tc>
        <w:tc>
          <w:tcPr>
            <w:tcW w:w="2604"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sz w:val="20"/>
                <w:szCs w:val="20"/>
              </w:rPr>
            </w:pPr>
            <w:r>
              <w:rPr>
                <w:b/>
                <w:bCs/>
                <w:sz w:val="20"/>
                <w:szCs w:val="20"/>
              </w:rPr>
              <w:t>APQP Phase</w:t>
            </w:r>
          </w:p>
        </w:tc>
        <w:tc>
          <w:tcPr>
            <w:tcW w:w="3875"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sz w:val="20"/>
                <w:szCs w:val="20"/>
              </w:rPr>
            </w:pPr>
            <w:r>
              <w:rPr>
                <w:b/>
                <w:bCs/>
                <w:sz w:val="20"/>
                <w:szCs w:val="20"/>
              </w:rPr>
              <w:t>Key Deliverables</w:t>
            </w:r>
          </w:p>
        </w:tc>
      </w:tr>
      <w:tr>
        <w:trPr>
          <w:trHeight w:val="718" w:hRule="atLeast"/>
        </w:trPr>
        <w:tc>
          <w:tcPr>
            <w:tcW w:w="2881" w:type="dxa"/>
            <w:tcBorders>
              <w:top w:val="single" w:sz="2" w:space="0" w:color="999999"/>
              <w:left w:val="single" w:sz="2" w:space="0" w:color="999999"/>
              <w:bottom w:val="single" w:sz="2" w:space="0" w:color="999999"/>
              <w:right w:val="single" w:sz="2" w:space="0" w:color="999999"/>
            </w:tcBorders>
            <w:vAlign w:val="center"/>
          </w:tcPr>
          <w:p>
            <w:pPr>
              <w:pStyle w:val="Normal"/>
              <w:rPr>
                <w:sz w:val="20"/>
                <w:szCs w:val="20"/>
              </w:rPr>
            </w:pPr>
            <w:r>
              <w:rPr>
                <w:sz w:val="20"/>
                <w:szCs w:val="20"/>
              </w:rPr>
              <w:t>Category 1 (MRL 1-3)</w:t>
            </w:r>
          </w:p>
        </w:tc>
        <w:tc>
          <w:tcPr>
            <w:tcW w:w="2604" w:type="dxa"/>
            <w:tcBorders>
              <w:top w:val="single" w:sz="2" w:space="0" w:color="999999"/>
              <w:left w:val="single" w:sz="2" w:space="0" w:color="999999"/>
              <w:bottom w:val="single" w:sz="2" w:space="0" w:color="999999"/>
              <w:right w:val="single" w:sz="2" w:space="0" w:color="999999"/>
            </w:tcBorders>
            <w:vAlign w:val="center"/>
          </w:tcPr>
          <w:p>
            <w:pPr>
              <w:pStyle w:val="Normal"/>
              <w:rPr>
                <w:sz w:val="20"/>
                <w:szCs w:val="20"/>
              </w:rPr>
            </w:pPr>
            <w:r>
              <w:rPr>
                <w:sz w:val="20"/>
                <w:szCs w:val="20"/>
              </w:rPr>
              <w:t>Phase 1: Plan and Define</w:t>
            </w:r>
          </w:p>
        </w:tc>
        <w:tc>
          <w:tcPr>
            <w:tcW w:w="3875" w:type="dxa"/>
            <w:tcBorders>
              <w:top w:val="single" w:sz="2" w:space="0" w:color="999999"/>
              <w:left w:val="single" w:sz="2" w:space="0" w:color="999999"/>
              <w:bottom w:val="single" w:sz="2" w:space="0" w:color="999999"/>
              <w:right w:val="single" w:sz="2" w:space="0" w:color="999999"/>
            </w:tcBorders>
            <w:vAlign w:val="center"/>
          </w:tcPr>
          <w:p>
            <w:pPr>
              <w:pStyle w:val="Normal"/>
              <w:rPr>
                <w:sz w:val="20"/>
                <w:szCs w:val="20"/>
              </w:rPr>
            </w:pPr>
            <w:r>
              <w:rPr>
                <w:sz w:val="20"/>
                <w:szCs w:val="20"/>
              </w:rPr>
              <w:t>Preliminary process flow, initial risk assessment, Gate 0</w:t>
            </w:r>
          </w:p>
        </w:tc>
      </w:tr>
      <w:tr>
        <w:trPr>
          <w:trHeight w:val="632" w:hRule="atLeast"/>
        </w:trPr>
        <w:tc>
          <w:tcPr>
            <w:tcW w:w="2881" w:type="dxa"/>
            <w:tcBorders>
              <w:top w:val="single" w:sz="2" w:space="0" w:color="999999"/>
              <w:left w:val="single" w:sz="2" w:space="0" w:color="999999"/>
              <w:bottom w:val="single" w:sz="2" w:space="0" w:color="999999"/>
              <w:right w:val="single" w:sz="2" w:space="0" w:color="999999"/>
            </w:tcBorders>
            <w:vAlign w:val="center"/>
          </w:tcPr>
          <w:p>
            <w:pPr>
              <w:pStyle w:val="Normal"/>
              <w:rPr>
                <w:sz w:val="20"/>
                <w:szCs w:val="20"/>
              </w:rPr>
            </w:pPr>
            <w:r>
              <w:rPr>
                <w:sz w:val="20"/>
                <w:szCs w:val="20"/>
              </w:rPr>
              <w:t>Category 2 (MRL 4-6)</w:t>
            </w:r>
          </w:p>
        </w:tc>
        <w:tc>
          <w:tcPr>
            <w:tcW w:w="2604" w:type="dxa"/>
            <w:tcBorders>
              <w:top w:val="single" w:sz="2" w:space="0" w:color="999999"/>
              <w:left w:val="single" w:sz="2" w:space="0" w:color="999999"/>
              <w:bottom w:val="single" w:sz="2" w:space="0" w:color="999999"/>
              <w:right w:val="single" w:sz="2" w:space="0" w:color="999999"/>
            </w:tcBorders>
            <w:vAlign w:val="center"/>
          </w:tcPr>
          <w:p>
            <w:pPr>
              <w:pStyle w:val="Normal"/>
              <w:rPr>
                <w:sz w:val="20"/>
                <w:szCs w:val="20"/>
              </w:rPr>
            </w:pPr>
            <w:r>
              <w:rPr>
                <w:sz w:val="20"/>
                <w:szCs w:val="20"/>
              </w:rPr>
              <w:t>Phase 2-3: Product and Process Design</w:t>
            </w:r>
          </w:p>
        </w:tc>
        <w:tc>
          <w:tcPr>
            <w:tcW w:w="3875" w:type="dxa"/>
            <w:tcBorders>
              <w:top w:val="single" w:sz="2" w:space="0" w:color="999999"/>
              <w:left w:val="single" w:sz="2" w:space="0" w:color="999999"/>
              <w:bottom w:val="single" w:sz="2" w:space="0" w:color="999999"/>
              <w:right w:val="single" w:sz="2" w:space="0" w:color="999999"/>
            </w:tcBorders>
            <w:vAlign w:val="center"/>
          </w:tcPr>
          <w:p>
            <w:pPr>
              <w:pStyle w:val="Normal"/>
              <w:rPr>
                <w:sz w:val="20"/>
                <w:szCs w:val="20"/>
              </w:rPr>
            </w:pPr>
            <w:r>
              <w:rPr>
                <w:sz w:val="20"/>
                <w:szCs w:val="20"/>
              </w:rPr>
              <w:t>DFMEA, DFM/DFA, PFMEA, Control Plan, Gates 2-3</w:t>
            </w:r>
          </w:p>
        </w:tc>
      </w:tr>
      <w:tr>
        <w:trPr>
          <w:trHeight w:val="718" w:hRule="atLeast"/>
        </w:trPr>
        <w:tc>
          <w:tcPr>
            <w:tcW w:w="2881" w:type="dxa"/>
            <w:tcBorders>
              <w:top w:val="single" w:sz="2" w:space="0" w:color="999999"/>
              <w:left w:val="single" w:sz="2" w:space="0" w:color="999999"/>
              <w:bottom w:val="single" w:sz="2" w:space="0" w:color="999999"/>
              <w:right w:val="single" w:sz="2" w:space="0" w:color="999999"/>
            </w:tcBorders>
            <w:vAlign w:val="center"/>
          </w:tcPr>
          <w:p>
            <w:pPr>
              <w:pStyle w:val="Normal"/>
              <w:rPr>
                <w:sz w:val="20"/>
                <w:szCs w:val="20"/>
              </w:rPr>
            </w:pPr>
            <w:r>
              <w:rPr>
                <w:sz w:val="20"/>
                <w:szCs w:val="20"/>
              </w:rPr>
              <w:t>Category 3 (MRL 7-8)</w:t>
            </w:r>
          </w:p>
        </w:tc>
        <w:tc>
          <w:tcPr>
            <w:tcW w:w="2604" w:type="dxa"/>
            <w:tcBorders>
              <w:top w:val="single" w:sz="2" w:space="0" w:color="999999"/>
              <w:left w:val="single" w:sz="2" w:space="0" w:color="999999"/>
              <w:bottom w:val="single" w:sz="2" w:space="0" w:color="999999"/>
              <w:right w:val="single" w:sz="2" w:space="0" w:color="999999"/>
            </w:tcBorders>
            <w:vAlign w:val="center"/>
          </w:tcPr>
          <w:p>
            <w:pPr>
              <w:pStyle w:val="Normal"/>
              <w:rPr>
                <w:sz w:val="20"/>
                <w:szCs w:val="20"/>
              </w:rPr>
            </w:pPr>
            <w:r>
              <w:rPr>
                <w:sz w:val="20"/>
                <w:szCs w:val="20"/>
              </w:rPr>
              <w:t>Phase 4: Validation</w:t>
            </w:r>
          </w:p>
        </w:tc>
        <w:tc>
          <w:tcPr>
            <w:tcW w:w="3875" w:type="dxa"/>
            <w:tcBorders>
              <w:top w:val="single" w:sz="2" w:space="0" w:color="999999"/>
              <w:left w:val="single" w:sz="2" w:space="0" w:color="999999"/>
              <w:bottom w:val="single" w:sz="2" w:space="0" w:color="999999"/>
              <w:right w:val="single" w:sz="2" w:space="0" w:color="999999"/>
            </w:tcBorders>
            <w:vAlign w:val="center"/>
          </w:tcPr>
          <w:p>
            <w:pPr>
              <w:pStyle w:val="Normal"/>
              <w:rPr>
                <w:sz w:val="20"/>
                <w:szCs w:val="20"/>
              </w:rPr>
            </w:pPr>
            <w:r>
              <w:rPr>
                <w:sz w:val="20"/>
                <w:szCs w:val="20"/>
              </w:rPr>
              <w:t>Production trial runs, PPAP submission, Gate 4</w:t>
            </w:r>
          </w:p>
        </w:tc>
      </w:tr>
      <w:tr>
        <w:trPr>
          <w:trHeight w:val="536" w:hRule="atLeast"/>
        </w:trPr>
        <w:tc>
          <w:tcPr>
            <w:tcW w:w="2881" w:type="dxa"/>
            <w:tcBorders>
              <w:top w:val="single" w:sz="2" w:space="0" w:color="999999"/>
              <w:left w:val="single" w:sz="2" w:space="0" w:color="999999"/>
              <w:bottom w:val="single" w:sz="2" w:space="0" w:color="999999"/>
              <w:right w:val="single" w:sz="2" w:space="0" w:color="999999"/>
            </w:tcBorders>
            <w:vAlign w:val="center"/>
          </w:tcPr>
          <w:p>
            <w:pPr>
              <w:pStyle w:val="Normal"/>
              <w:rPr>
                <w:sz w:val="20"/>
                <w:szCs w:val="20"/>
              </w:rPr>
            </w:pPr>
            <w:r>
              <w:rPr>
                <w:sz w:val="20"/>
                <w:szCs w:val="20"/>
              </w:rPr>
              <w:t>Category 4 (MRL 9-10)</w:t>
            </w:r>
          </w:p>
        </w:tc>
        <w:tc>
          <w:tcPr>
            <w:tcW w:w="2604" w:type="dxa"/>
            <w:tcBorders>
              <w:top w:val="single" w:sz="2" w:space="0" w:color="999999"/>
              <w:left w:val="single" w:sz="2" w:space="0" w:color="999999"/>
              <w:bottom w:val="single" w:sz="2" w:space="0" w:color="999999"/>
              <w:right w:val="single" w:sz="2" w:space="0" w:color="999999"/>
            </w:tcBorders>
            <w:vAlign w:val="center"/>
          </w:tcPr>
          <w:p>
            <w:pPr>
              <w:pStyle w:val="Normal"/>
              <w:rPr>
                <w:sz w:val="20"/>
                <w:szCs w:val="20"/>
              </w:rPr>
            </w:pPr>
            <w:r>
              <w:rPr>
                <w:sz w:val="20"/>
                <w:szCs w:val="20"/>
              </w:rPr>
              <w:t>Phase 5: Production</w:t>
            </w:r>
          </w:p>
        </w:tc>
        <w:tc>
          <w:tcPr>
            <w:tcW w:w="3875" w:type="dxa"/>
            <w:tcBorders>
              <w:top w:val="single" w:sz="2" w:space="0" w:color="999999"/>
              <w:left w:val="single" w:sz="2" w:space="0" w:color="999999"/>
              <w:bottom w:val="single" w:sz="2" w:space="0" w:color="999999"/>
              <w:right w:val="single" w:sz="2" w:space="0" w:color="999999"/>
            </w:tcBorders>
            <w:vAlign w:val="center"/>
          </w:tcPr>
          <w:p>
            <w:pPr>
              <w:pStyle w:val="Normal"/>
              <w:rPr>
                <w:sz w:val="20"/>
                <w:szCs w:val="20"/>
              </w:rPr>
            </w:pPr>
            <w:r>
              <w:rPr>
                <w:sz w:val="20"/>
                <w:szCs w:val="20"/>
              </w:rPr>
              <w:t>SPC implementation, continuous improvement, Gate 5</w:t>
            </w:r>
          </w:p>
        </w:tc>
      </w:tr>
    </w:tbl>
    <w:p>
      <w:pPr>
        <w:pStyle w:val="Normal"/>
        <w:spacing w:before="200" w:after="200"/>
        <w:rPr/>
      </w:pPr>
      <w:r>
        <w:rPr/>
        <w:t>Production Part Approval Process (PPAP) serves as the formal certification of manufacturing readiness in automotive supply chains. Its 18 elements document that production processes can consistently produce parts meeting specifications. MTL scoring should influence PPAP execution: MTL 1-2 components may proceed with Level 1 or 2 submissions where customer relationships permit; MTL 3 components typically warrant Level 3 submissions with full supporting documentation; MTL 4-5 components should default to Level 4 or 5 submissions with on-site verification, and organizations should consider whether the standard 300-part production run provides sufficient evidence of capability for narrow-window processes.</w:t>
      </w:r>
    </w:p>
    <w:p>
      <w:pPr>
        <w:pStyle w:val="Heading1"/>
        <w:rPr/>
      </w:pPr>
      <w:r>
        <w:rPr/>
        <w:t>Design Reviews and Manufacturing Readiness</w:t>
      </w:r>
    </w:p>
    <w:p>
      <w:pPr>
        <w:pStyle w:val="Normal"/>
        <w:spacing w:before="0" w:after="200"/>
        <w:rPr/>
      </w:pPr>
      <w:r>
        <w:rPr/>
        <w:t>Effective manufacturing readiness tracking requires understanding the hierarchy of technical reviews and when manufacturing input becomes critical. The distinction between product-focused and process-focused reviews deserves particular attention. Traditional design reviews concentrate on whether the product meets requirements. Process-focused reviews examine whether manufacturing processes can reliably produce conforming product.</w:t>
      </w:r>
    </w:p>
    <w:p>
      <w:pPr>
        <w:pStyle w:val="Normal"/>
        <w:spacing w:before="0" w:after="200"/>
        <w:rPr/>
      </w:pPr>
      <w:r>
        <w:rPr/>
        <w:t>The Preliminary Design Review evaluates conceptual design feasibility with 10-25% of product drawings complete and all safety-critical component drawings finished. Manufacturing content at PDR includes producibility assessments, trade studies, and the defined manufacturing approach. MTL assessment at PDR should be at the architecture and subsystem level, identifying which elements will drive industrialization complexity.</w:t>
      </w:r>
    </w:p>
    <w:p>
      <w:pPr>
        <w:pStyle w:val="Normal"/>
        <w:spacing w:before="0" w:after="200"/>
        <w:rPr/>
      </w:pPr>
      <w:r>
        <w:rPr/>
        <w:t>The Critical Design Review (CDR) verifies that design can proceed to fabrication, requiring 75-90% of manufacturing-quality drawings complete. By CDR, production processes and controls must be sufficiently defined to support the build-to baseline. MTL scores at CDR should be refined to component level, with any dimension scoring four or higher requiring a named technical owner and documented mitigation plan.</w:t>
      </w:r>
    </w:p>
    <w:p>
      <w:pPr>
        <w:pStyle w:val="Normal"/>
        <w:spacing w:before="0" w:after="200"/>
        <w:rPr/>
      </w:pPr>
      <w:r>
        <w:rPr/>
        <w:t>Manufacturing Readiness Reviews (also called Production Readiness Reviews) serve as the phase gate assuring that documentation, processes, test methods, quality parameters, tooling, and training are in place before volume production begins. The intensity of MRR scrutiny should scale with MTL: a high-MTL component sourced from a supplier with limited track record might warrant multi-day on-site process reviews, extended first article inspection protocols, and provisional qualification with enhanced monitoring.</w:t>
      </w:r>
    </w:p>
    <w:p>
      <w:pPr>
        <w:pStyle w:val="Heading1"/>
        <w:rPr/>
      </w:pPr>
      <w:r>
        <w:rPr/>
        <w:t>Cultural Barriers to Honest Assessment</w:t>
      </w:r>
    </w:p>
    <w:p>
      <w:pPr>
        <w:pStyle w:val="Normal"/>
        <w:spacing w:before="0" w:after="200"/>
        <w:rPr/>
      </w:pPr>
      <w:r>
        <w:rPr/>
        <w:t>The most sophisticated frameworks cannot overcome organizational cultures that punish bad news. GAO investigations found that DoD acquisition culture creates incentives for starting programs too early, overpromising performance capabilities, and understating expected costs, schedules, and risks. The consequences are predictable: rewards for discovering and recognizing potential problems early in weapon system development are few, while not having attained knowledge can be perceived as better than knowing that problems exist.</w:t>
      </w:r>
    </w:p>
    <w:p>
      <w:pPr>
        <w:pStyle w:val="Normal"/>
        <w:spacing w:before="0" w:after="200"/>
        <w:rPr/>
      </w:pPr>
      <w:r>
        <w:rPr/>
        <w:t>The "watermelon project" phenomenon—projects appearing green on the outside while red on the inside—affects an estimated 75% of organizations. Root causes include organizational cultures that punish red status, over-optimism among project managers hoping to present positive images, fear of escalating problems, pressure to report positively, and aggregation effects where summarized management reporting gets progressively greener up the hierarchy.</w:t>
      </w:r>
    </w:p>
    <w:p>
      <w:pPr>
        <w:pStyle w:val="Callout"/>
        <w:rPr/>
      </w:pPr>
      <w:r>
        <w:rPr/>
        <w:t>The same cultural pressures that produce watermelon projects in readiness tracking affect complexity assessment. Organizations face incentives to understate MTL scores—lower complexity implies faster schedules and smaller budgets. When complexity is understated, readiness milestones become meaningless because the team is measuring progress against an inaccurate map of the terrain.</w:t>
      </w:r>
    </w:p>
    <w:p>
      <w:pPr>
        <w:pStyle w:val="Normal"/>
        <w:spacing w:before="0" w:after="200"/>
        <w:rPr/>
      </w:pPr>
      <w:r>
        <w:rPr/>
        <w:t>Indicators of assessment green-washing include sudden status changes (projects jumping from all-green to red overnight), disconnects between reported status and cost/schedule trends, lack of supporting data behind summary ratings, and the "90% syndrome" where projects remain 90% complete for extended periods. Prevention requires objective threshold definitions, data-backed reporting requirements, independent assessments disconnected from project success metrics, and cultural change that rewards early problem identification.</w:t>
      </w:r>
    </w:p>
    <w:p>
      <w:pPr>
        <w:pStyle w:val="Heading1"/>
        <w:rPr/>
      </w:pPr>
      <w:r>
        <w:rPr/>
        <w:t>Industry Applications Beyond Defense and Automotive</w:t>
      </w:r>
    </w:p>
    <w:p>
      <w:pPr>
        <w:pStyle w:val="Normal"/>
        <w:spacing w:before="0" w:after="200"/>
        <w:rPr/>
      </w:pPr>
      <w:r>
        <w:rPr/>
        <w:t>While MRL originated in defense acquisition and APQP in automotive, the underlying principles apply across commercial manufacturing. Several industry examples illustrate this broader applicability.</w:t>
      </w:r>
    </w:p>
    <w:p>
      <w:pPr>
        <w:pStyle w:val="Normal"/>
        <w:spacing w:before="0" w:after="200"/>
        <w:rPr/>
      </w:pPr>
      <w:r>
        <w:rPr>
          <w:b/>
          <w:bCs/>
        </w:rPr>
        <w:t xml:space="preserve">Agricultural Equipment. </w:t>
      </w:r>
      <w:r>
        <w:rPr/>
        <w:t>A combine manufacturer refreshing their flagship product faces different MRL progression rates across subsystems. The sheet metal cab structure (MTL 1) progresses rapidly through all four categories. The hydrostatic drive system with new efficiency targets (MTL 3) requires extended Category 2 activities for process characterization. A new grain quality sensing system using novel optical technology (MTL 4) may remain in Category 2 for an extended period while fundamental process windows are established.</w:t>
      </w:r>
    </w:p>
    <w:p>
      <w:pPr>
        <w:pStyle w:val="Normal"/>
        <w:spacing w:before="0" w:after="200"/>
        <w:rPr/>
      </w:pPr>
      <w:r>
        <w:rPr>
          <w:b/>
          <w:bCs/>
        </w:rPr>
        <w:t xml:space="preserve">Refrigeration Equipment. </w:t>
      </w:r>
      <w:r>
        <w:rPr/>
        <w:t>A commercial refrigeration manufacturer developing a new high-efficiency compressor platform must calibrate readiness activities to complexity. Brazed heat exchanger joints with demanding durability specifications (MTL 3-4) warrant extended Category 3 validation including statistical process capability demonstration. Standard sheet metal enclosures (MTL 1) proceed through streamlined qualification. The integrated control system with new refrigerant compatibility requirements (MTL 3) requires DOE-driven characterization during Category 2.</w:t>
      </w:r>
    </w:p>
    <w:p>
      <w:pPr>
        <w:pStyle w:val="Normal"/>
        <w:spacing w:before="0" w:after="200"/>
        <w:rPr/>
      </w:pPr>
      <w:r>
        <w:rPr>
          <w:b/>
          <w:bCs/>
        </w:rPr>
        <w:t xml:space="preserve">Medical Devices. </w:t>
      </w:r>
      <w:r>
        <w:rPr/>
        <w:t>Medical device manufacturers have adapted MRL to support cleaner transitions from Design History Files to Device Master Records. An implantable device with demanding surface finish and biocompatibility requirements (MTL 4) might plan three distinct prototype phases during Category 2 while standard components proceed through conventional verification builds. Category 3 qualification must satisfy FDA process validation requirements, with evidence depth scaled to MTL complexity.</w:t>
      </w:r>
    </w:p>
    <w:p>
      <w:pPr>
        <w:pStyle w:val="Normal"/>
        <w:spacing w:before="0" w:after="200"/>
        <w:rPr/>
      </w:pPr>
      <w:r>
        <w:rPr>
          <w:b/>
          <w:bCs/>
        </w:rPr>
        <w:t xml:space="preserve">Consumer Goods. </w:t>
      </w:r>
      <w:r>
        <w:rPr/>
        <w:t>A premium appliance manufacturer launching a new product line with an MTL 4 surface treatment process structures Category 4 ramp over six months rather than the typical three, with quality review gates at 25%, 50%, and 75% of target volume. Process engineering resources remain assigned through launch, capturing learnings through FRACAS and refining control plans.</w:t>
      </w:r>
    </w:p>
    <w:p>
      <w:pPr>
        <w:pStyle w:val="Heading1"/>
        <w:rPr/>
      </w:pPr>
      <w:r>
        <w:rPr/>
        <w:t>Learning Systems: FRACAS and Knowledge Capture</w:t>
      </w:r>
    </w:p>
    <w:p>
      <w:pPr>
        <w:pStyle w:val="Normal"/>
        <w:spacing w:before="0" w:after="200"/>
        <w:rPr/>
      </w:pPr>
      <w:r>
        <w:rPr/>
        <w:t>Learning capture becomes especially valuable for high-MTL processes during Category 4 ramp, and a structured Failure Reporting, Analysis, and Corrective Action System provides the mechanism for converting production experience into organizational knowledge. MRL category and MTL score should jointly inform FRACAS application.</w:t>
      </w:r>
    </w:p>
    <w:p>
      <w:pPr>
        <w:pStyle w:val="Normal"/>
        <w:spacing w:before="0" w:after="200"/>
        <w:rPr/>
      </w:pPr>
      <w:r>
        <w:rPr/>
        <w:t>A failure on an MTL 2 process typically warrants standard corrective action and closure. The same failure on an MTL 4 process demands deeper root cause investigation: Was the process window narrower than characterized? Did an unconsidered interaction between variables cause the excursion? Is the Control Plan adequate for the actual sensitivity? FRACAS findings on high-MTL elements frequently reveal that initial complexity assessments were optimistic, triggering upward MTL revisions and corresponding governance adjustments even during production ramp.</w:t>
      </w:r>
    </w:p>
    <w:p>
      <w:pPr>
        <w:pStyle w:val="Normal"/>
        <w:spacing w:before="0" w:after="200"/>
        <w:rPr/>
      </w:pPr>
      <w:r>
        <w:rPr/>
        <w:t>Organizations at higher CMMI maturity levels have robust mechanisms for capturing subject matter expert knowledge, maintaining current documentation, and ensuring consistent training delivery. The "silver tsunami" of experienced worker retirements threatens tacit knowledge that exists nowhere except in experts' heads. Standard work—documented procedures capturing the most efficient, waste-free way to perform tasks—forms the baseline for both knowledge preservation and continuous improvement. MTL scoring helps prioritize where documentation investment generates the most value: high-MTL processes with narrow windows and complex interactions demand more detailed standard work than routine operations.</w:t>
      </w:r>
    </w:p>
    <w:p>
      <w:pPr>
        <w:pStyle w:val="Heading1"/>
        <w:rPr/>
      </w:pPr>
      <w:r>
        <w:rPr/>
        <w:t>Conclusion</w:t>
      </w:r>
    </w:p>
    <w:p>
      <w:pPr>
        <w:pStyle w:val="Normal"/>
        <w:spacing w:before="0" w:after="200"/>
        <w:rPr/>
      </w:pPr>
      <w:r>
        <w:rPr/>
        <w:t>Effective manufacturing risk management requires tracking both dimensions: how far you've come and how difficult the remaining path. The four-category MRL structure provides clear milestones for readiness maturation. The MTL framework characterizes complexity. Together they answer the questions that determine program success: Have we progressed far enough given how hard this is? Is our evidence of readiness proportionate to the difficulty of what we're claiming to be ready for?</w:t>
      </w:r>
    </w:p>
    <w:p>
      <w:pPr>
        <w:pStyle w:val="Normal"/>
        <w:spacing w:before="0" w:after="200"/>
        <w:rPr/>
      </w:pPr>
      <w:r>
        <w:rPr/>
        <w:t>The fundamental insight underlying all manufacturing readiness frameworks is that production problems are design problems discovered too late. Organizations that systematically assess both manufacturing readiness and manufacturing complexity throughout development, using objective criteria with independent verification, create mechanisms to surface risks when they can still be addressed cost-effectively. Those that treat readiness tracking as a compliance exercise—or worse, allow cultural pressure to green-wash assessments—will continue experiencing the production disruptions, cost overruns, and schedule delays that motivated development of these frameworks in the first place.</w:t>
      </w:r>
    </w:p>
    <w:p>
      <w:pPr>
        <w:pStyle w:val="Callout"/>
        <w:rPr/>
      </w:pPr>
      <w:r>
        <w:rPr/>
        <w:t>The choice is straightforward: invest in manufacturing readiness and complexity assessment upfront, or pay for manufacturing problems in production. The frameworks exist. The standards are documented. The case studies demonstrate what works. What remains is organizational commitment to use them honestly—which may be the most challenging manufacturing readiness requirement of all.</w:t>
      </w:r>
    </w:p>
    <w:p>
      <w:pPr>
        <w:pStyle w:val="Heading1"/>
        <w:spacing w:before="0" w:after="180"/>
        <w:rPr/>
      </w:pPr>
      <w:r>
        <w:rPr/>
        <w:t>Quick Reference: MTL and MRL Integration</w:t>
      </w:r>
    </w:p>
    <w:p>
      <w:pPr>
        <w:pStyle w:val="Heading2"/>
        <w:rPr/>
      </w:pPr>
      <w:r>
        <w:rPr/>
        <w:t>MTL Complexity Guide</w:t>
      </w:r>
    </w:p>
    <w:tbl>
      <w:tblPr>
        <w:tblW w:w="9360" w:type="dxa"/>
        <w:jc w:val="left"/>
        <w:tblInd w:w="0" w:type="dxa"/>
        <w:tblLayout w:type="fixed"/>
        <w:tblCellMar>
          <w:top w:w="0" w:type="dxa"/>
          <w:left w:w="108" w:type="dxa"/>
          <w:bottom w:w="0" w:type="dxa"/>
          <w:right w:w="108" w:type="dxa"/>
        </w:tblCellMar>
      </w:tblPr>
      <w:tblGrid>
        <w:gridCol w:w="1560"/>
        <w:gridCol w:w="7799"/>
      </w:tblGrid>
      <w:tr>
        <w:trPr>
          <w:tblHeader w:val="true"/>
          <w:trHeight w:val="554" w:hRule="atLeast"/>
        </w:trPr>
        <w:tc>
          <w:tcPr>
            <w:tcW w:w="1560"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MTL</w:t>
            </w:r>
          </w:p>
        </w:tc>
        <w:tc>
          <w:tcPr>
            <w:tcW w:w="7799" w:type="dxa"/>
            <w:tcBorders>
              <w:top w:val="single" w:sz="2" w:space="0" w:color="999999"/>
              <w:left w:val="single" w:sz="2" w:space="0" w:color="999999"/>
              <w:bottom w:val="single" w:sz="2" w:space="0" w:color="999999"/>
              <w:right w:val="single" w:sz="2" w:space="0" w:color="999999"/>
            </w:tcBorders>
            <w:shd w:fill="E8E8E8" w:val="clear"/>
            <w:vAlign w:val="center"/>
          </w:tcPr>
          <w:p>
            <w:pPr>
              <w:pStyle w:val="Normal"/>
              <w:rPr/>
            </w:pPr>
            <w:r>
              <w:rPr>
                <w:b/>
                <w:bCs/>
              </w:rPr>
              <w:t>MRL Category Transition Requirements</w:t>
            </w:r>
          </w:p>
        </w:tc>
      </w:tr>
      <w:tr>
        <w:trPr>
          <w:trHeight w:val="554" w:hRule="atLeast"/>
        </w:trPr>
        <w:tc>
          <w:tcPr>
            <w:tcW w:w="1560"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rPr>
              <w:t>MTL 1</w:t>
            </w:r>
          </w:p>
        </w:tc>
        <w:tc>
          <w:tcPr>
            <w:tcW w:w="7799" w:type="dxa"/>
            <w:tcBorders>
              <w:top w:val="single" w:sz="2" w:space="0" w:color="999999"/>
              <w:left w:val="single" w:sz="2" w:space="0" w:color="999999"/>
              <w:bottom w:val="single" w:sz="2" w:space="0" w:color="999999"/>
              <w:right w:val="single" w:sz="2" w:space="0" w:color="999999"/>
            </w:tcBorders>
          </w:tcPr>
          <w:p>
            <w:pPr>
              <w:pStyle w:val="Normal"/>
              <w:rPr/>
            </w:pPr>
            <w:r>
              <w:rPr/>
              <w:t>Standard effort, standard timelines, standard evidence at all category transitions</w:t>
            </w:r>
          </w:p>
        </w:tc>
      </w:tr>
      <w:tr>
        <w:trPr>
          <w:trHeight w:val="554" w:hRule="atLeast"/>
        </w:trPr>
        <w:tc>
          <w:tcPr>
            <w:tcW w:w="1560"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rPr>
              <w:t>MTL 2</w:t>
            </w:r>
          </w:p>
        </w:tc>
        <w:tc>
          <w:tcPr>
            <w:tcW w:w="7799" w:type="dxa"/>
            <w:tcBorders>
              <w:top w:val="single" w:sz="2" w:space="0" w:color="999999"/>
              <w:left w:val="single" w:sz="2" w:space="0" w:color="999999"/>
              <w:bottom w:val="single" w:sz="2" w:space="0" w:color="999999"/>
              <w:right w:val="single" w:sz="2" w:space="0" w:color="999999"/>
            </w:tcBorders>
          </w:tcPr>
          <w:p>
            <w:pPr>
              <w:pStyle w:val="Normal"/>
              <w:rPr/>
            </w:pPr>
            <w:r>
              <w:rPr/>
              <w:t>Deliberate attention at Category 2→3 transition; verify process windows before validation</w:t>
            </w:r>
          </w:p>
        </w:tc>
      </w:tr>
      <w:tr>
        <w:trPr>
          <w:trHeight w:val="554" w:hRule="atLeast"/>
        </w:trPr>
        <w:tc>
          <w:tcPr>
            <w:tcW w:w="1560"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rPr>
              <w:t>MTL 3</w:t>
            </w:r>
          </w:p>
        </w:tc>
        <w:tc>
          <w:tcPr>
            <w:tcW w:w="7799" w:type="dxa"/>
            <w:tcBorders>
              <w:top w:val="single" w:sz="2" w:space="0" w:color="999999"/>
              <w:left w:val="single" w:sz="2" w:space="0" w:color="999999"/>
              <w:bottom w:val="single" w:sz="2" w:space="0" w:color="999999"/>
              <w:right w:val="single" w:sz="2" w:space="0" w:color="999999"/>
            </w:tcBorders>
          </w:tcPr>
          <w:p>
            <w:pPr>
              <w:pStyle w:val="Normal"/>
              <w:rPr/>
            </w:pPr>
            <w:r>
              <w:rPr/>
              <w:t>Extended Category 2 activities with DOE; enhanced Category 3 evidence requirements</w:t>
            </w:r>
          </w:p>
        </w:tc>
      </w:tr>
      <w:tr>
        <w:trPr>
          <w:trHeight w:val="554" w:hRule="atLeast"/>
        </w:trPr>
        <w:tc>
          <w:tcPr>
            <w:tcW w:w="1560"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rPr>
              <w:t>MTL 4</w:t>
            </w:r>
          </w:p>
        </w:tc>
        <w:tc>
          <w:tcPr>
            <w:tcW w:w="7799" w:type="dxa"/>
            <w:tcBorders>
              <w:top w:val="single" w:sz="2" w:space="0" w:color="999999"/>
              <w:left w:val="single" w:sz="2" w:space="0" w:color="999999"/>
              <w:bottom w:val="single" w:sz="2" w:space="0" w:color="999999"/>
              <w:right w:val="single" w:sz="2" w:space="0" w:color="999999"/>
            </w:tcBorders>
          </w:tcPr>
          <w:p>
            <w:pPr>
              <w:pStyle w:val="Normal"/>
              <w:rPr/>
            </w:pPr>
            <w:r>
              <w:rPr/>
              <w:t>Dedicated technical ownership through all categories; staged Category 4 entry with hold points</w:t>
            </w:r>
          </w:p>
        </w:tc>
      </w:tr>
      <w:tr>
        <w:trPr>
          <w:trHeight w:val="554" w:hRule="atLeast"/>
        </w:trPr>
        <w:tc>
          <w:tcPr>
            <w:tcW w:w="1560" w:type="dxa"/>
            <w:tcBorders>
              <w:top w:val="single" w:sz="2" w:space="0" w:color="999999"/>
              <w:left w:val="single" w:sz="2" w:space="0" w:color="999999"/>
              <w:bottom w:val="single" w:sz="2" w:space="0" w:color="999999"/>
              <w:right w:val="single" w:sz="2" w:space="0" w:color="999999"/>
            </w:tcBorders>
            <w:vAlign w:val="center"/>
          </w:tcPr>
          <w:p>
            <w:pPr>
              <w:pStyle w:val="Normal"/>
              <w:rPr/>
            </w:pPr>
            <w:r>
              <w:rPr>
                <w:b/>
                <w:bCs/>
              </w:rPr>
              <w:t>MTL 5</w:t>
            </w:r>
          </w:p>
        </w:tc>
        <w:tc>
          <w:tcPr>
            <w:tcW w:w="7799" w:type="dxa"/>
            <w:tcBorders>
              <w:top w:val="single" w:sz="2" w:space="0" w:color="999999"/>
              <w:left w:val="single" w:sz="2" w:space="0" w:color="999999"/>
              <w:bottom w:val="single" w:sz="2" w:space="0" w:color="999999"/>
              <w:right w:val="single" w:sz="2" w:space="0" w:color="999999"/>
            </w:tcBorders>
          </w:tcPr>
          <w:p>
            <w:pPr>
              <w:pStyle w:val="Normal"/>
              <w:rPr/>
            </w:pPr>
            <w:r>
              <w:rPr/>
              <w:t>R&amp;D-level investment; iterative category progression; design feedback loops; executive visibility</w:t>
            </w:r>
          </w:p>
        </w:tc>
      </w:tr>
    </w:tbl>
    <w:p>
      <w:pPr>
        <w:pStyle w:val="Heading2"/>
        <w:spacing w:before="360" w:after="140"/>
        <w:rPr/>
      </w:pPr>
      <w:r>
        <w:rPr/>
        <w:t>Core Principle</w:t>
      </w:r>
    </w:p>
    <w:p>
      <w:pPr>
        <w:pStyle w:val="Callout"/>
        <w:spacing w:before="200" w:after="200"/>
        <w:ind w:left="720" w:right="720"/>
        <w:rPr/>
      </w:pPr>
      <w:r>
        <w:rPr>
          <w:b/>
          <w:bCs/>
        </w:rPr>
        <w:t xml:space="preserve">Readiness tells you how far. Complexity tells you how hard. </w:t>
      </w:r>
      <w:r>
        <w:rPr/>
        <w:t>An "80% ready" MTL 2 item is largely under control. An "80% ready" MTL 5 item may still represent a program-level existential risk. Never interpret readiness without considering complexity.</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Page </w:t>
    </w:r>
    <w:r>
      <w:rPr/>
      <w:fldChar w:fldCharType="begin"/>
    </w:r>
    <w:r>
      <w:rPr/>
      <w:instrText xml:space="preserve"> PAGE </w:instrText>
    </w:r>
    <w:r>
      <w:rPr/>
      <w:fldChar w:fldCharType="separate"/>
    </w:r>
    <w:r>
      <w:rPr/>
      <w:t>6</w:t>
    </w:r>
    <w:r>
      <w:rPr/>
      <w:fldChar w:fldCharType="end"/>
    </w:r>
    <w:r>
      <w:rPr>
        <w:sz w:val="20"/>
        <w:szCs w:val="20"/>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Page </w:t>
    </w:r>
    <w:r>
      <w:rPr/>
      <w:fldChar w:fldCharType="begin"/>
    </w:r>
    <w:r>
      <w:rPr/>
      <w:instrText xml:space="preserve"> PAGE </w:instrText>
    </w:r>
    <w:r>
      <w:rPr/>
      <w:fldChar w:fldCharType="separate"/>
    </w:r>
    <w:r>
      <w:rPr/>
      <w:t>6</w:t>
    </w:r>
    <w:r>
      <w:rPr/>
      <w:fldChar w:fldCharType="end"/>
    </w:r>
    <w:r>
      <w:rPr>
        <w:sz w:val="20"/>
        <w:szCs w:val="20"/>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20"/>
        <w:szCs w:val="20"/>
      </w:rPr>
      <w:t>Manufacturing Readiness Levels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20"/>
        <w:szCs w:val="20"/>
      </w:rPr>
      <w:t>Manufacturing Readiness Levels</w:t>
    </w:r>
  </w:p>
</w:hdr>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00"/>
      <w:sz w:val="32"/>
      <w:szCs w:val="32"/>
    </w:rPr>
  </w:style>
  <w:style w:type="paragraph" w:styleId="Heading2">
    <w:name w:val="Heading 2"/>
    <w:basedOn w:val="Heading"/>
    <w:qFormat/>
    <w:pPr>
      <w:spacing w:before="280" w:after="140"/>
      <w:outlineLvl w:val="1"/>
    </w:pPr>
    <w:rPr>
      <w:rFonts w:ascii="Arial" w:hAnsi="Arial" w:eastAsia="Arial" w:cs="Arial"/>
      <w:b/>
      <w:bCs/>
      <w:color w:val="000000"/>
      <w:sz w:val="26"/>
      <w:szCs w:val="26"/>
    </w:rPr>
  </w:style>
  <w:style w:type="paragraph" w:styleId="Heading3">
    <w:name w:val="Heading 3"/>
    <w:basedOn w:val="Heading"/>
    <w:qFormat/>
    <w:pPr>
      <w:spacing w:before="240" w:after="120"/>
      <w:outlineLvl w:val="2"/>
    </w:pPr>
    <w:rPr>
      <w:rFonts w:ascii="Arial" w:hAnsi="Arial" w:eastAsia="Arial" w:cs="Arial"/>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spacing w:before="0" w:after="240"/>
      <w:jc w:val="center"/>
    </w:pPr>
    <w:rPr>
      <w:rFonts w:ascii="Arial" w:hAnsi="Arial" w:eastAsia="Arial" w:cs="Arial"/>
      <w:b/>
      <w:bCs/>
      <w:color w:val="000000"/>
      <w:sz w:val="48"/>
      <w:szCs w:val="48"/>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allout">
    <w:name w:val="Callout"/>
    <w:qFormat/>
    <w:pPr>
      <w:widowControl/>
      <w:suppressAutoHyphens w:val="true"/>
      <w:bidi w:val="0"/>
      <w:spacing w:before="200" w:after="200"/>
      <w:ind w:left="720" w:right="720"/>
      <w:jc w:val="left"/>
    </w:pPr>
    <w:rPr>
      <w:rFonts w:ascii="Arial" w:hAnsi="Arial" w:eastAsia="Arial" w:cs="Arial"/>
      <w:i/>
      <w:iCs/>
      <w:color w:val="333333"/>
      <w:kern w:val="0"/>
      <w:sz w:val="24"/>
      <w:szCs w:val="24"/>
      <w:lang w:val="en-U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TotalTime>
  <Application>LibreOffice/24.2.7.2$Linux_X86_64 LibreOffice_project/420$Build-2</Application>
  <AppVersion>15.0000</AppVersion>
  <Pages>8</Pages>
  <Words>2641</Words>
  <Characters>17591</Characters>
  <CharactersWithSpaces>20060</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2025-12-13T17:53:45Z</dcterms:created>
  <dc:creator>Un-named</dc:creator>
  <dc:description/>
  <dc:language>en-US</dc:language>
  <cp:lastModifiedBy/>
  <dcterms:modified xsi:type="dcterms:W3CDTF">2025-12-15T17:18:03Z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