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Manufacturing Technical Levels (MTL)</w:t>
      </w:r>
    </w:p>
    <w:p>
      <w:pPr>
        <w:pStyle w:val="Normal"/>
        <w:spacing w:before="0" w:after="120"/>
        <w:jc w:val="center"/>
        <w:rPr/>
      </w:pPr>
      <w:r>
        <w:rPr>
          <w:i/>
          <w:iCs/>
          <w:sz w:val="28"/>
          <w:szCs w:val="28"/>
        </w:rPr>
        <w:t>A Framework for Integrating Complexity Assessment</w:t>
      </w:r>
    </w:p>
    <w:p>
      <w:pPr>
        <w:pStyle w:val="Normal"/>
        <w:spacing w:before="0" w:after="480"/>
        <w:jc w:val="center"/>
        <w:rPr/>
      </w:pPr>
      <w:r>
        <w:rPr>
          <w:i/>
          <w:iCs/>
          <w:sz w:val="28"/>
          <w:szCs w:val="28"/>
        </w:rPr>
        <w:t>into Product Industrialization</w:t>
      </w:r>
    </w:p>
    <w:p>
      <w:pPr>
        <w:pStyle w:val="Heading1"/>
        <w:rPr/>
      </w:pPr>
      <w:r>
        <w:rPr/>
        <w:t>Introduction: The Missing Dimension</w:t>
      </w:r>
    </w:p>
    <w:p>
      <w:pPr>
        <w:pStyle w:val="Normal"/>
        <w:spacing w:before="0" w:after="200"/>
        <w:rPr/>
      </w:pPr>
      <w:r>
        <w:rPr/>
        <w:t>Every manufacturing professional has lived this story: a product development program reports eighty percent readiness against its milestones, there is a general feeling of confidence about the launch date, and then the remaining twenty percent consumes more time, money, and organizational energy than the preceding eighty. The post-mortem reveals a recurring pattern—the team had confused progress with proximity to success.</w:t>
      </w:r>
    </w:p>
    <w:p>
      <w:pPr>
        <w:pStyle w:val="Normal"/>
        <w:spacing w:before="0" w:after="200"/>
        <w:rPr/>
      </w:pPr>
      <w:r>
        <w:rPr/>
        <w:t>This phenomenon reflects a fundamental gap in how most organizations think about manufacturing risk. Readiness frameworks—tracking progress against defined milestones—dominate industrialization governance. But readiness metrics alone cannot distinguish between a program that is eighty percent complete on an easy path and one that is eighty percent complete on a treacherous one. The difficulty of the remaining terrain matters as much as the distance already covered.</w:t>
      </w:r>
    </w:p>
    <w:p>
      <w:pPr>
        <w:pStyle w:val="Callout"/>
        <w:rPr/>
      </w:pPr>
      <w:r>
        <w:rPr/>
        <w:t>Where readiness asks "how far have we traveled," MTL asks "how mountainous is this road." Both questions matter. Answering them together transforms how organizations plan, resource, and govern integration efforts.</w:t>
      </w:r>
    </w:p>
    <w:p>
      <w:pPr>
        <w:pStyle w:val="Normal"/>
        <w:spacing w:before="0" w:after="200"/>
        <w:rPr/>
      </w:pPr>
      <w:r>
        <w:rPr/>
        <w:t>The Manufacturing Technical Level framework addresses this gap by providing a structured methodology for assessing the inherent complexity and risk profile of manufacturing challenges, independent of how far a program has progressed. A companion document, Manufacturing Readiness Levels (MRL), addresses readiness assessment methodology including the four-category MRL structure and Advance Product Quality Planning (APQP) integration. Together these frameworks provide the complete picture of industrialization risk.</w:t>
      </w:r>
    </w:p>
    <w:p>
      <w:pPr>
        <w:pStyle w:val="Normal"/>
        <w:spacing w:before="0" w:after="200"/>
        <w:rPr/>
      </w:pPr>
      <w:r>
        <w:rPr/>
        <w:t>The framework draws conceptual lineage from the Technology Readiness Level (TRL) system developed by NASA in the 1970s and the MRL framework subsequently adopted across defense acquisition programs. However, where those frameworks emerged from contexts of large-scale aerospace and defense programs with extended development timelines and government oversight structures, the approach presented here is calibrated for the realities of commercial manufacturing across diverse industries: automotive components, medical devices, consumer products, refrigeration systems, agricultural equipment, and similar applications where time-to-market pressure, cost discipline, and supply chain agility define competitive success.</w:t>
      </w:r>
    </w:p>
    <w:p>
      <w:pPr>
        <w:pStyle w:val="Heading1"/>
        <w:rPr/>
      </w:pPr>
      <w:r>
        <w:rPr/>
        <w:t>The Five Levels: A Graduated Scale of Industrial Difficulty</w:t>
      </w:r>
    </w:p>
    <w:p>
      <w:pPr>
        <w:pStyle w:val="Normal"/>
        <w:spacing w:before="0" w:after="200"/>
        <w:rPr/>
      </w:pPr>
      <w:r>
        <w:rPr/>
        <w:t>The MTL framework defines five levels of manufacturing complexity, each representing a distinct category of industrialization challenge with corresponding implications for program planning and governance.</w:t>
      </w:r>
    </w:p>
    <w:p>
      <w:pPr>
        <w:pStyle w:val="Heading2"/>
        <w:rPr/>
      </w:pPr>
      <w:r>
        <w:rPr/>
        <w:t>Manufacturing Technical Level 1: Routine Industrialization</w:t>
      </w:r>
    </w:p>
    <w:p>
      <w:pPr>
        <w:pStyle w:val="Normal"/>
        <w:spacing w:before="0" w:after="200"/>
        <w:rPr/>
      </w:pPr>
      <w:r>
        <w:rPr/>
        <w:t>MTL 1 characterizes low-complexity, well-understood existing and mature manufacturing processes, materials, and suppliers. The industrialization effort involves configuration more than invention. Examples include simple formed sheet metal components, basic injection-molded plastic housings, standard fastener assemblies, and commodity machined parts with loose tolerances. A garden tool manufacturer launching a new trowel design using established steel stamping and powder coating processes operates in MTL 1 territory.</w:t>
      </w:r>
    </w:p>
    <w:p>
      <w:pPr>
        <w:pStyle w:val="Callout"/>
        <w:rPr/>
      </w:pPr>
      <w:r>
        <w:rPr/>
        <w:t>At the MTL 1 level the design may be new, but the manufacturing path is thoroughly understood and proven.</w:t>
      </w:r>
    </w:p>
    <w:p>
      <w:pPr>
        <w:pStyle w:val="Normal"/>
        <w:spacing w:before="0" w:after="200"/>
        <w:rPr/>
      </w:pPr>
      <w:r>
        <w:rPr/>
        <w:t>Programs at MTL 1 can be managed with standard project controls most likely with sustaining resources applied. Engineering time focuses on cost optimization rather than technical unknowns. Supplier selection emphasizes price and delivery rather than capability qualification. Build events serve verification purposes rather than learning purposes. These are ideal candidates for outsourcing to standard contract manufacturers or established job shops.</w:t>
      </w:r>
    </w:p>
    <w:p>
      <w:pPr>
        <w:pStyle w:val="Heading2"/>
        <w:rPr/>
      </w:pPr>
      <w:r>
        <w:rPr/>
        <w:t>Manufacturing Technical Level 2: Low Complexity with Targeted Customization</w:t>
      </w:r>
    </w:p>
    <w:p>
      <w:pPr>
        <w:pStyle w:val="Normal"/>
        <w:spacing w:before="0" w:after="200"/>
        <w:rPr/>
      </w:pPr>
      <w:r>
        <w:rPr/>
        <w:t>MTL 2 applies to programs where core technology is known but non-trivial customizations or integration requirements introduce modest complexity. The underlying processes are familiar, but specific parameters, sequencing, or integration details require deliberate attention. Consider an automotive tier-two supplier developing a new brake caliper bracket that uses established machining and surface treatment processes but requires tighter positional tolerances than the supplier's standard work to meet customer specifications for a performance vehicle application. The processes are known, but the parameter windows need refinement.</w:t>
      </w:r>
    </w:p>
    <w:p>
      <w:pPr>
        <w:pStyle w:val="Normal"/>
        <w:spacing w:before="0" w:after="200"/>
        <w:rPr/>
      </w:pPr>
      <w:r>
        <w:rPr/>
        <w:t>MTL 2 programs require deliberate design-for-manufacturing engagement and thoughtful process failure mode analysis, but typically do not demand fundamentally new process development. Supplier engagement should begin earlier than for MTL 1 programs, particularly when specific capabilities limit the field of qualified sources. Build events refine process windows and confirm assumptions, but catastrophic surprises are unlikely if reasonable diligence is applied.</w:t>
      </w:r>
    </w:p>
    <w:p>
      <w:pPr>
        <w:pStyle w:val="Heading2"/>
        <w:rPr/>
      </w:pPr>
      <w:r>
        <w:rPr/>
        <w:t>Manufacturing Technical Level 3: Moderate Complexity with Multi-Factor Risk</w:t>
      </w:r>
    </w:p>
    <w:p>
      <w:pPr>
        <w:pStyle w:val="Normal"/>
        <w:spacing w:before="0" w:after="200"/>
        <w:rPr/>
      </w:pPr>
      <w:r>
        <w:rPr/>
        <w:t>MTL 3 marks the threshold where multiple complexity drivers overlap, creating cumulative risk that demands structured technical planning. Tighter tolerances, more specialized processes, non-trivial integration requirements, and constrained supplier options combine to make the industrialization effort significant. A medical device manufacturer developing an implantable component with critical surface finish requirements, biocompatibility constraints, and demanding dimensional tolerances across multiple materials exemplifies MTL 3 complexity. Each individual challenge might be manageable in isolation, but their intersection creates a more demanding landscape.</w:t>
      </w:r>
    </w:p>
    <w:p>
      <w:pPr>
        <w:pStyle w:val="Callout"/>
        <w:rPr/>
      </w:pPr>
      <w:r>
        <w:rPr/>
        <w:t>MTL 3 is where you cross into territory where the recipe isn't fully written yet. You might know the general approach, but you don't know exactly where the boundaries are.</w:t>
      </w:r>
    </w:p>
    <w:p>
      <w:pPr>
        <w:pStyle w:val="Normal"/>
        <w:spacing w:before="0" w:after="200"/>
        <w:rPr/>
      </w:pPr>
      <w:r>
        <w:rPr/>
        <w:t>At MTL 3, process development becomes essential and mandatory rather than optional refinement. You can't just assume your nominal parameters will work across the full range of real-world variation. Design of Experiments enters the field—varying temperature, speed, pressure, whatever your key variables are—characterizing the process and finding the edges of failure. This isn't optional polish; without it, you're essentially gambling that production conditions will stay close enough to your development conditions. They rarely do.</w:t>
      </w:r>
    </w:p>
    <w:p>
      <w:pPr>
        <w:pStyle w:val="Heading2"/>
        <w:rPr/>
      </w:pPr>
      <w:r>
        <w:rPr/>
        <w:t>Manufacturing Technical Level 4: High Complexity, New Processes, New Technologies</w:t>
      </w:r>
    </w:p>
    <w:p>
      <w:pPr>
        <w:pStyle w:val="Callout"/>
        <w:rPr/>
      </w:pPr>
      <w:r>
        <w:rPr/>
        <w:t>At the MTL 4 threshold the question shifts from "how do we optimize this?" to "we don't currently have a process that can do this, and what will it take to get there?"</w:t>
      </w:r>
    </w:p>
    <w:p>
      <w:pPr>
        <w:pStyle w:val="Normal"/>
        <w:spacing w:before="0" w:after="200"/>
        <w:rPr/>
      </w:pPr>
      <w:r>
        <w:rPr/>
        <w:t>The gap isn't about finding the right settings on existing equipment. The gap is more fundamental. Maybe the process exists somewhere in the world, but not in your shop. Maybe it exists in a lab but hasn't been scaled. Maybe it exists at production rates but nobody has achieved it with your material, your geometry, your tolerance stack. You're not optimizing—you're developing.</w:t>
      </w:r>
    </w:p>
    <w:p>
      <w:pPr>
        <w:pStyle w:val="Normal"/>
        <w:spacing w:before="0" w:after="200"/>
        <w:rPr/>
      </w:pPr>
      <w:r>
        <w:rPr/>
        <w:t>MTL 4 programs need specialists , subject matter experts (SME), who understand the underlying science—metallurgists, controls engineers, metrologists—because you're working at the boundary of what's understood, not just what's been implemented locally. Often capital investment in equipment that doesn't exist in your facility is required—and sometimes doesn't exist commercially and must be custom-built or adapted.</w:t>
      </w:r>
    </w:p>
    <w:p>
      <w:pPr>
        <w:pStyle w:val="Normal"/>
        <w:spacing w:before="0" w:after="200"/>
        <w:rPr/>
      </w:pPr>
      <w:r>
        <w:rPr/>
        <w:t>MTL 4 programs require dedicated technical ownership, not just project management. Build strategies must be designed to eliminate risk early rather than merely demonstrate capacity late. Advanced statistical process control, in-line inspection, or closed-loop control systems move from optional enhancements to essential infrastructure. Supplier capability becomes a genuine constraint, with a narrow field of suppliers available to reliably meet requirements.</w:t>
      </w:r>
    </w:p>
    <w:p>
      <w:pPr>
        <w:pStyle w:val="Heading2"/>
        <w:rPr/>
      </w:pPr>
      <w:r>
        <w:rPr/>
        <w:t>Manufacturing Technical Level 5: Frontier Industrialization</w:t>
      </w:r>
    </w:p>
    <w:p>
      <w:pPr>
        <w:pStyle w:val="Normal"/>
        <w:spacing w:before="0" w:after="200"/>
        <w:rPr/>
      </w:pPr>
      <w:r>
        <w:rPr/>
        <w:t>MTL 5 represents the frontier edge of manufacturing capability: novel combinations of design, material, and process where both technology and supply chain maturity are limited if they exist at all. A semiconductor manufacturer introducing 10 angstrom CPU architecture or a company developing modular portable nuclear power systems exemplifies MTL 5 complexity. The path to stable production is genuinely uncertain at program initiation.</w:t>
      </w:r>
    </w:p>
    <w:p>
      <w:pPr>
        <w:pStyle w:val="Callout"/>
        <w:rPr/>
      </w:pPr>
      <w:r>
        <w:rPr/>
        <w:t>Projects in the MTL 5 realm are not simply launches—they are industrial research and development efforts attached to production commitments.</w:t>
      </w:r>
    </w:p>
    <w:p>
      <w:pPr>
        <w:pStyle w:val="Normal"/>
        <w:spacing w:before="0" w:after="200"/>
        <w:rPr/>
      </w:pPr>
      <w:r>
        <w:rPr/>
        <w:t>MTL 5 programs demand research-like funding and governance even when attached to commercial launch schedules. Deep technical staffing spanning manufacturing science, materials engineering, metrology, and controls becomes essential. Build strategies must be iterative and learning-focused rather than merely milestone-focused. High likelihood exists that manufacturing learnings will feed back into design, requiring sufficient space for re-architecture as discoveries emerge. Early yield projections carry substantial uncertainty, and learning cycles extend beyond typical program assumptions.</w:t>
      </w:r>
    </w:p>
    <w:p>
      <w:pPr>
        <w:pStyle w:val="Normal"/>
        <w:rPr/>
      </w:pPr>
      <w:r>
        <w:rPr/>
      </w:r>
      <w:r>
        <w:br w:type="page"/>
      </w:r>
    </w:p>
    <w:p>
      <w:pPr>
        <w:pStyle w:val="Heading1"/>
        <w:spacing w:before="0" w:after="180"/>
        <w:rPr/>
      </w:pPr>
      <w:r>
        <w:rPr/>
        <w:t>Integration with Manufacturing Readiness Levels</w:t>
      </w:r>
    </w:p>
    <w:p>
      <w:pPr>
        <w:pStyle w:val="Normal"/>
        <w:spacing w:before="0" w:after="200"/>
        <w:rPr/>
      </w:pPr>
      <w:r>
        <w:rPr/>
        <w:t>MTL complements rather than replaces readiness assessment frameworks. Where MRL asks "how ready is the manufacturing," MTL asks "how difficult is this challenge regardless of current readiness." Organizations using MRL can layer MTL on top, using complexity scores to interpret readiness assessments. An MRL Category 3 status on an MTL 2 component signals comfortable progress. The same Category 3 status on an MTL 5 component signals continued vigilance—substantial difficulty remains even after significant progress.</w:t>
      </w:r>
    </w:p>
    <w:p>
      <w:pPr>
        <w:pStyle w:val="Heading2"/>
        <w:rPr/>
      </w:pPr>
      <w:r>
        <w:rPr/>
        <w:t>Four-Category Manufacturing Readiness Level Structure</w:t>
      </w:r>
    </w:p>
    <w:p>
      <w:pPr>
        <w:pStyle w:val="Normal"/>
        <w:spacing w:before="0" w:after="200"/>
        <w:rPr/>
      </w:pPr>
      <w:r>
        <w:rPr/>
        <w:t>The companion Manufacturing Readiness Levels document presents a four-category MRL structure that simplifies the standard 10-level scale into functional groupings, each answering a distinct question about manufacturing maturation:</w:t>
      </w:r>
    </w:p>
    <w:tbl>
      <w:tblPr>
        <w:tblW w:w="9360" w:type="dxa"/>
        <w:jc w:val="left"/>
        <w:tblInd w:w="0" w:type="dxa"/>
        <w:tblLayout w:type="fixed"/>
        <w:tblCellMar>
          <w:top w:w="0" w:type="dxa"/>
          <w:left w:w="108" w:type="dxa"/>
          <w:bottom w:w="0" w:type="dxa"/>
          <w:right w:w="108" w:type="dxa"/>
        </w:tblCellMar>
      </w:tblPr>
      <w:tblGrid>
        <w:gridCol w:w="3782"/>
        <w:gridCol w:w="1981"/>
        <w:gridCol w:w="3597"/>
      </w:tblGrid>
      <w:tr>
        <w:trPr>
          <w:tblHeader w:val="true"/>
          <w:trHeight w:val="557" w:hRule="atLeast"/>
        </w:trPr>
        <w:tc>
          <w:tcPr>
            <w:tcW w:w="378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MRL Category</w:t>
            </w:r>
          </w:p>
        </w:tc>
        <w:tc>
          <w:tcPr>
            <w:tcW w:w="198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MRL Levels</w:t>
            </w:r>
          </w:p>
        </w:tc>
        <w:tc>
          <w:tcPr>
            <w:tcW w:w="3597"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Unifying Question</w:t>
            </w:r>
          </w:p>
        </w:tc>
      </w:tr>
      <w:tr>
        <w:trPr>
          <w:trHeight w:val="617" w:hRule="atLeast"/>
        </w:trPr>
        <w:tc>
          <w:tcPr>
            <w:tcW w:w="3782"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1: Feasibility Validated</w:t>
            </w:r>
          </w:p>
        </w:tc>
        <w:tc>
          <w:tcPr>
            <w:tcW w:w="19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MR 1-3</w:t>
            </w:r>
          </w:p>
        </w:tc>
        <w:tc>
          <w:tcPr>
            <w:tcW w:w="3597"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this be manufactured?</w:t>
            </w:r>
          </w:p>
        </w:tc>
      </w:tr>
      <w:tr>
        <w:trPr>
          <w:trHeight w:val="617" w:hRule="atLeast"/>
        </w:trPr>
        <w:tc>
          <w:tcPr>
            <w:tcW w:w="3782"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2: Prototype Capability</w:t>
            </w:r>
          </w:p>
        </w:tc>
        <w:tc>
          <w:tcPr>
            <w:tcW w:w="19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MRL 4-6</w:t>
            </w:r>
          </w:p>
        </w:tc>
        <w:tc>
          <w:tcPr>
            <w:tcW w:w="3597"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we build prototypes with production realism?</w:t>
            </w:r>
          </w:p>
        </w:tc>
      </w:tr>
      <w:tr>
        <w:trPr>
          <w:trHeight w:val="617" w:hRule="atLeast"/>
        </w:trPr>
        <w:tc>
          <w:tcPr>
            <w:tcW w:w="3782"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3: Production Validated</w:t>
            </w:r>
          </w:p>
        </w:tc>
        <w:tc>
          <w:tcPr>
            <w:tcW w:w="19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MRL 7-8</w:t>
            </w:r>
          </w:p>
        </w:tc>
        <w:tc>
          <w:tcPr>
            <w:tcW w:w="3597" w:type="dxa"/>
            <w:tcBorders>
              <w:top w:val="single" w:sz="2" w:space="0" w:color="999999"/>
              <w:left w:val="single" w:sz="2" w:space="0" w:color="999999"/>
              <w:bottom w:val="single" w:sz="2" w:space="0" w:color="999999"/>
              <w:right w:val="single" w:sz="2" w:space="0" w:color="999999"/>
            </w:tcBorders>
            <w:vAlign w:val="center"/>
          </w:tcPr>
          <w:p>
            <w:pPr>
              <w:pStyle w:val="Normal"/>
              <w:rPr/>
            </w:pPr>
            <w:r>
              <w:rPr/>
              <w:t>Is the production system ready?</w:t>
            </w:r>
          </w:p>
        </w:tc>
      </w:tr>
      <w:tr>
        <w:trPr>
          <w:trHeight w:val="617" w:hRule="atLeast"/>
        </w:trPr>
        <w:tc>
          <w:tcPr>
            <w:tcW w:w="3782"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4: Rates Demonstrated</w:t>
            </w:r>
          </w:p>
        </w:tc>
        <w:tc>
          <w:tcPr>
            <w:tcW w:w="1981"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t>MRL 9-10</w:t>
            </w:r>
          </w:p>
        </w:tc>
        <w:tc>
          <w:tcPr>
            <w:tcW w:w="3597"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Can we produce at volume?</w:t>
            </w:r>
          </w:p>
        </w:tc>
      </w:tr>
    </w:tbl>
    <w:p>
      <w:pPr>
        <w:pStyle w:val="Heading2"/>
        <w:spacing w:before="280" w:after="140"/>
        <w:rPr/>
      </w:pPr>
      <w:r>
        <w:rPr/>
        <w:t>MTL Impact on MRL Category Transitions</w:t>
      </w:r>
    </w:p>
    <w:p>
      <w:pPr>
        <w:pStyle w:val="Normal"/>
        <w:spacing w:before="0" w:after="200"/>
        <w:rPr/>
      </w:pPr>
      <w:r>
        <w:rPr/>
        <w:t>MTL complexity scores predict how difficult each MRL category transition will be. The following table provides guidance on what each MTL level implies for readiness progression:</w:t>
      </w:r>
    </w:p>
    <w:tbl>
      <w:tblPr>
        <w:tblW w:w="9360" w:type="dxa"/>
        <w:jc w:val="left"/>
        <w:tblInd w:w="0" w:type="dxa"/>
        <w:tblLayout w:type="fixed"/>
        <w:tblCellMar>
          <w:top w:w="0" w:type="dxa"/>
          <w:left w:w="108" w:type="dxa"/>
          <w:bottom w:w="0" w:type="dxa"/>
          <w:right w:w="108" w:type="dxa"/>
        </w:tblCellMar>
      </w:tblPr>
      <w:tblGrid>
        <w:gridCol w:w="1560"/>
        <w:gridCol w:w="7799"/>
      </w:tblGrid>
      <w:tr>
        <w:trPr>
          <w:tblHeader w:val="true"/>
          <w:trHeight w:val="643" w:hRule="atLeast"/>
        </w:trPr>
        <w:tc>
          <w:tcPr>
            <w:tcW w:w="156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MTL</w:t>
            </w:r>
          </w:p>
        </w:tc>
        <w:tc>
          <w:tcPr>
            <w:tcW w:w="77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MRL Category Transition Implications</w:t>
            </w:r>
          </w:p>
        </w:tc>
      </w:tr>
      <w:tr>
        <w:trPr>
          <w:trHeight w:val="728"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b/>
                <w:bCs/>
              </w:rPr>
              <w:t>MTL 1</w:t>
            </w:r>
          </w:p>
        </w:tc>
        <w:tc>
          <w:tcPr>
            <w:tcW w:w="7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Standard effort, standard timelines, standard evidence at all category transitions</w:t>
            </w:r>
          </w:p>
        </w:tc>
      </w:tr>
      <w:tr>
        <w:trPr>
          <w:trHeight w:val="718"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b/>
                <w:bCs/>
              </w:rPr>
              <w:t>MTL 2</w:t>
            </w:r>
          </w:p>
        </w:tc>
        <w:tc>
          <w:tcPr>
            <w:tcW w:w="7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Deliberate attention at Category 2→3 transition; verify process windows before validation commitment</w:t>
            </w:r>
          </w:p>
        </w:tc>
      </w:tr>
      <w:tr>
        <w:trPr>
          <w:trHeight w:val="833"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b/>
                <w:bCs/>
              </w:rPr>
              <w:t>MTL 3</w:t>
            </w:r>
          </w:p>
        </w:tc>
        <w:tc>
          <w:tcPr>
            <w:tcW w:w="7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Extended Category 2 activities with DOE-driven characterization; enhanced Category 3 evidence requirements including extended capability studies</w:t>
            </w:r>
          </w:p>
        </w:tc>
      </w:tr>
      <w:tr>
        <w:trPr>
          <w:trHeight w:val="833"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b/>
                <w:bCs/>
              </w:rPr>
              <w:t>MTL 4</w:t>
            </w:r>
          </w:p>
        </w:tc>
        <w:tc>
          <w:tcPr>
            <w:tcW w:w="7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Dedicated technical ownership through all categories; iterative learning builds in Category 2; intensive qualification in Category 3; staged Category 4 entry with hold points</w:t>
            </w:r>
          </w:p>
        </w:tc>
      </w:tr>
      <w:tr>
        <w:trPr>
          <w:trHeight w:val="833"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jc w:val="center"/>
              <w:rPr/>
            </w:pPr>
            <w:r>
              <w:rPr>
                <w:b/>
                <w:bCs/>
              </w:rPr>
              <w:t>MTL 5</w:t>
            </w:r>
          </w:p>
        </w:tc>
        <w:tc>
          <w:tcPr>
            <w:tcW w:w="77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R&amp;D-level investment; iterative category progression with potential regression; design feedback loops requiring re-architecture; executive visibility throughout</w:t>
            </w:r>
          </w:p>
        </w:tc>
      </w:tr>
    </w:tbl>
    <w:p>
      <w:pPr>
        <w:pStyle w:val="Heading2"/>
        <w:spacing w:before="280" w:after="140"/>
        <w:rPr/>
      </w:pPr>
      <w:r>
        <w:rPr/>
        <w:t>APQP Phase Alignment</w:t>
      </w:r>
    </w:p>
    <w:p>
      <w:pPr>
        <w:pStyle w:val="Normal"/>
        <w:spacing w:before="0" w:after="200"/>
        <w:rPr/>
      </w:pPr>
      <w:r>
        <w:rPr/>
        <w:t>For organizations using APQP methodology, the following mapping connects MTL phases to APQP phases and gate reviews:</w:t>
      </w:r>
    </w:p>
    <w:tbl>
      <w:tblPr>
        <w:tblW w:w="9360" w:type="dxa"/>
        <w:jc w:val="left"/>
        <w:tblInd w:w="0" w:type="dxa"/>
        <w:tblLayout w:type="fixed"/>
        <w:tblCellMar>
          <w:top w:w="0" w:type="dxa"/>
          <w:left w:w="108" w:type="dxa"/>
          <w:bottom w:w="0" w:type="dxa"/>
          <w:right w:w="108" w:type="dxa"/>
        </w:tblCellMar>
      </w:tblPr>
      <w:tblGrid>
        <w:gridCol w:w="2340"/>
        <w:gridCol w:w="3167"/>
        <w:gridCol w:w="1513"/>
        <w:gridCol w:w="2339"/>
      </w:tblGrid>
      <w:tr>
        <w:trPr>
          <w:tblHeader w:val="true"/>
          <w:trHeight w:val="554" w:hRule="atLeast"/>
        </w:trPr>
        <w:tc>
          <w:tcPr>
            <w:tcW w:w="234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MTL Phase</w:t>
            </w:r>
          </w:p>
        </w:tc>
        <w:tc>
          <w:tcPr>
            <w:tcW w:w="3167"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APQP Phase</w:t>
            </w:r>
          </w:p>
        </w:tc>
        <w:tc>
          <w:tcPr>
            <w:tcW w:w="1513"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Gate</w:t>
            </w:r>
          </w:p>
        </w:tc>
        <w:tc>
          <w:tcPr>
            <w:tcW w:w="233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MRL Category</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Business Case</w:t>
            </w:r>
          </w:p>
        </w:tc>
        <w:tc>
          <w:tcPr>
            <w:tcW w:w="3167" w:type="dxa"/>
            <w:tcBorders>
              <w:top w:val="single" w:sz="2" w:space="0" w:color="999999"/>
              <w:left w:val="single" w:sz="2" w:space="0" w:color="999999"/>
              <w:bottom w:val="single" w:sz="2" w:space="0" w:color="999999"/>
              <w:right w:val="single" w:sz="2" w:space="0" w:color="999999"/>
            </w:tcBorders>
            <w:vAlign w:val="center"/>
          </w:tcPr>
          <w:p>
            <w:pPr>
              <w:pStyle w:val="Normal"/>
              <w:rPr/>
            </w:pPr>
            <w:r>
              <w:rPr/>
              <w:t>Phase 1: Plan and Define</w:t>
            </w:r>
          </w:p>
        </w:tc>
        <w:tc>
          <w:tcPr>
            <w:tcW w:w="1513" w:type="dxa"/>
            <w:tcBorders>
              <w:top w:val="single" w:sz="2" w:space="0" w:color="999999"/>
              <w:left w:val="single" w:sz="2" w:space="0" w:color="999999"/>
              <w:bottom w:val="single" w:sz="2" w:space="0" w:color="999999"/>
              <w:right w:val="single" w:sz="2" w:space="0" w:color="999999"/>
            </w:tcBorders>
            <w:vAlign w:val="center"/>
          </w:tcPr>
          <w:p>
            <w:pPr>
              <w:pStyle w:val="Normal"/>
              <w:rPr/>
            </w:pPr>
            <w:r>
              <w:rPr/>
              <w:t>Gate 0</w:t>
            </w:r>
          </w:p>
        </w:tc>
        <w:tc>
          <w:tcPr>
            <w:tcW w:w="233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1</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Concept Development</w:t>
            </w:r>
          </w:p>
        </w:tc>
        <w:tc>
          <w:tcPr>
            <w:tcW w:w="3167" w:type="dxa"/>
            <w:tcBorders>
              <w:top w:val="single" w:sz="2" w:space="0" w:color="999999"/>
              <w:left w:val="single" w:sz="2" w:space="0" w:color="999999"/>
              <w:bottom w:val="single" w:sz="2" w:space="0" w:color="999999"/>
              <w:right w:val="single" w:sz="2" w:space="0" w:color="999999"/>
            </w:tcBorders>
            <w:vAlign w:val="center"/>
          </w:tcPr>
          <w:p>
            <w:pPr>
              <w:pStyle w:val="Normal"/>
              <w:rPr/>
            </w:pPr>
            <w:r>
              <w:rPr/>
              <w:t>Phase 2: Product Design</w:t>
            </w:r>
          </w:p>
        </w:tc>
        <w:tc>
          <w:tcPr>
            <w:tcW w:w="1513" w:type="dxa"/>
            <w:tcBorders>
              <w:top w:val="single" w:sz="2" w:space="0" w:color="999999"/>
              <w:left w:val="single" w:sz="2" w:space="0" w:color="999999"/>
              <w:bottom w:val="single" w:sz="2" w:space="0" w:color="999999"/>
              <w:right w:val="single" w:sz="2" w:space="0" w:color="999999"/>
            </w:tcBorders>
            <w:vAlign w:val="center"/>
          </w:tcPr>
          <w:p>
            <w:pPr>
              <w:pStyle w:val="Normal"/>
              <w:rPr/>
            </w:pPr>
            <w:r>
              <w:rPr/>
              <w:t>Gate 2</w:t>
            </w:r>
          </w:p>
        </w:tc>
        <w:tc>
          <w:tcPr>
            <w:tcW w:w="233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1-2</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Design &amp; Development</w:t>
            </w:r>
          </w:p>
        </w:tc>
        <w:tc>
          <w:tcPr>
            <w:tcW w:w="3167" w:type="dxa"/>
            <w:tcBorders>
              <w:top w:val="single" w:sz="2" w:space="0" w:color="999999"/>
              <w:left w:val="single" w:sz="2" w:space="0" w:color="999999"/>
              <w:bottom w:val="single" w:sz="2" w:space="0" w:color="999999"/>
              <w:right w:val="single" w:sz="2" w:space="0" w:color="999999"/>
            </w:tcBorders>
            <w:vAlign w:val="center"/>
          </w:tcPr>
          <w:p>
            <w:pPr>
              <w:pStyle w:val="Normal"/>
              <w:rPr/>
            </w:pPr>
            <w:r>
              <w:rPr/>
              <w:t>Phase 3: Process Design</w:t>
            </w:r>
          </w:p>
        </w:tc>
        <w:tc>
          <w:tcPr>
            <w:tcW w:w="1513" w:type="dxa"/>
            <w:tcBorders>
              <w:top w:val="single" w:sz="2" w:space="0" w:color="999999"/>
              <w:left w:val="single" w:sz="2" w:space="0" w:color="999999"/>
              <w:bottom w:val="single" w:sz="2" w:space="0" w:color="999999"/>
              <w:right w:val="single" w:sz="2" w:space="0" w:color="999999"/>
            </w:tcBorders>
            <w:vAlign w:val="center"/>
          </w:tcPr>
          <w:p>
            <w:pPr>
              <w:pStyle w:val="Normal"/>
              <w:rPr/>
            </w:pPr>
            <w:r>
              <w:rPr/>
              <w:t>Gate 3</w:t>
            </w:r>
          </w:p>
        </w:tc>
        <w:tc>
          <w:tcPr>
            <w:tcW w:w="233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2</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Production Readiness</w:t>
            </w:r>
          </w:p>
        </w:tc>
        <w:tc>
          <w:tcPr>
            <w:tcW w:w="3167" w:type="dxa"/>
            <w:tcBorders>
              <w:top w:val="single" w:sz="2" w:space="0" w:color="999999"/>
              <w:left w:val="single" w:sz="2" w:space="0" w:color="999999"/>
              <w:bottom w:val="single" w:sz="2" w:space="0" w:color="999999"/>
              <w:right w:val="single" w:sz="2" w:space="0" w:color="999999"/>
            </w:tcBorders>
            <w:vAlign w:val="center"/>
          </w:tcPr>
          <w:p>
            <w:pPr>
              <w:pStyle w:val="Normal"/>
              <w:rPr/>
            </w:pPr>
            <w:r>
              <w:rPr/>
              <w:t>Phase 4: Validation</w:t>
            </w:r>
          </w:p>
        </w:tc>
        <w:tc>
          <w:tcPr>
            <w:tcW w:w="1513" w:type="dxa"/>
            <w:tcBorders>
              <w:top w:val="single" w:sz="2" w:space="0" w:color="999999"/>
              <w:left w:val="single" w:sz="2" w:space="0" w:color="999999"/>
              <w:bottom w:val="single" w:sz="2" w:space="0" w:color="999999"/>
              <w:right w:val="single" w:sz="2" w:space="0" w:color="999999"/>
            </w:tcBorders>
            <w:vAlign w:val="center"/>
          </w:tcPr>
          <w:p>
            <w:pPr>
              <w:pStyle w:val="Normal"/>
              <w:rPr/>
            </w:pPr>
            <w:r>
              <w:rPr/>
              <w:t>Gate 4</w:t>
            </w:r>
          </w:p>
        </w:tc>
        <w:tc>
          <w:tcPr>
            <w:tcW w:w="233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3</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Launch &amp; Support</w:t>
            </w:r>
          </w:p>
        </w:tc>
        <w:tc>
          <w:tcPr>
            <w:tcW w:w="3167" w:type="dxa"/>
            <w:tcBorders>
              <w:top w:val="single" w:sz="2" w:space="0" w:color="999999"/>
              <w:left w:val="single" w:sz="2" w:space="0" w:color="999999"/>
              <w:bottom w:val="single" w:sz="2" w:space="0" w:color="999999"/>
              <w:right w:val="single" w:sz="2" w:space="0" w:color="999999"/>
            </w:tcBorders>
            <w:vAlign w:val="center"/>
          </w:tcPr>
          <w:p>
            <w:pPr>
              <w:pStyle w:val="Normal"/>
              <w:rPr/>
            </w:pPr>
            <w:r>
              <w:rPr/>
              <w:t>Phase 5: Production</w:t>
            </w:r>
          </w:p>
        </w:tc>
        <w:tc>
          <w:tcPr>
            <w:tcW w:w="1513" w:type="dxa"/>
            <w:tcBorders>
              <w:top w:val="single" w:sz="2" w:space="0" w:color="999999"/>
              <w:left w:val="single" w:sz="2" w:space="0" w:color="999999"/>
              <w:bottom w:val="single" w:sz="2" w:space="0" w:color="999999"/>
              <w:right w:val="single" w:sz="2" w:space="0" w:color="999999"/>
            </w:tcBorders>
            <w:vAlign w:val="center"/>
          </w:tcPr>
          <w:p>
            <w:pPr>
              <w:pStyle w:val="Normal"/>
              <w:rPr/>
            </w:pPr>
            <w:r>
              <w:rPr/>
              <w:t>Gate 5</w:t>
            </w:r>
          </w:p>
        </w:tc>
        <w:tc>
          <w:tcPr>
            <w:tcW w:w="233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Category 4</w:t>
            </w:r>
          </w:p>
        </w:tc>
      </w:tr>
    </w:tbl>
    <w:p>
      <w:pPr>
        <w:pStyle w:val="Normal"/>
        <w:rPr/>
      </w:pPr>
      <w:r>
        <w:rPr/>
      </w:r>
      <w:r>
        <w:br w:type="page"/>
      </w:r>
    </w:p>
    <w:p>
      <w:pPr>
        <w:pStyle w:val="Heading1"/>
        <w:spacing w:before="0" w:after="180"/>
        <w:rPr/>
      </w:pPr>
      <w:r>
        <w:rPr/>
        <w:t>Phase Integration: Aligning MTL with the Product Lifecycle</w:t>
      </w:r>
    </w:p>
    <w:p>
      <w:pPr>
        <w:pStyle w:val="Normal"/>
        <w:spacing w:before="0" w:after="200"/>
        <w:rPr/>
      </w:pPr>
      <w:r>
        <w:rPr/>
        <w:t>The value of MTL as a complexity lens emerges most fully when integrated into the standard phases of product industrialization. Rather than treating complexity assessment as a one-time exercise, organizations should embed MTL thinking into the governance structure of each phase, using it to calibrate expectations, allocate resources, and shape decision criteria.</w:t>
      </w:r>
    </w:p>
    <w:p>
      <w:pPr>
        <w:pStyle w:val="Heading2"/>
        <w:rPr/>
      </w:pPr>
      <w:r>
        <w:rPr/>
        <w:t>Phase 1: Business Case—Pricing Risk into Investment Decisions</w:t>
      </w:r>
    </w:p>
    <w:p>
      <w:pPr>
        <w:pStyle w:val="Normal"/>
        <w:spacing w:before="0" w:after="200"/>
        <w:rPr/>
      </w:pPr>
      <w:r>
        <w:rPr/>
        <w:t>At the business case phase, organizations make go or no-go investment decisions with incomplete information. Detailed designs do not yet exist, supplier capabilities have not been fully assessed, and process parameters remain undefined.</w:t>
      </w:r>
    </w:p>
    <w:p>
      <w:pPr>
        <w:pStyle w:val="Callout"/>
        <w:rPr/>
      </w:pPr>
      <w:r>
        <w:rPr/>
        <w:t>Financial models employed to justify investment may have embedded assumptions about development cost, schedule, and production economics that do not account for the level of manufacturing difficulty.</w:t>
      </w:r>
    </w:p>
    <w:p>
      <w:pPr>
        <w:pStyle w:val="Normal"/>
        <w:spacing w:before="0" w:after="200"/>
        <w:rPr/>
      </w:pPr>
      <w:r>
        <w:rPr/>
        <w:t>MTL provides a mechanism for making these assumptions explicit and calibrating them appropriately. A preliminary MTL screening—acknowledging uncertainty of plus or minus one level—provides essential input to investment decisions. The business case phase should also trigger capability gap identification. If preliminary MTL assessment reveals dimensions where the organization lacks experience, this represents a strategic input to the investment decision. Options include building internal capability, acquiring expertise through partnership or acquisition, or reconsidering whether the product concept aligns with the business strategy.</w:t>
      </w:r>
    </w:p>
    <w:p>
      <w:pPr>
        <w:pStyle w:val="Normal"/>
        <w:spacing w:before="0" w:after="200"/>
        <w:rPr/>
      </w:pPr>
      <w:r>
        <w:rPr/>
        <w:t>At MRL Category 1 (Feasibility), MTL complexity determines what kind of feasibility work is needed. An MTL 1-2 component requires only standard feasibility assessment. An MTL 4-5 component demands manufacturing R&amp;D scope definition—the question is not merely "can this be manufactured" but "what research program is required to answer that question."</w:t>
      </w:r>
    </w:p>
    <w:p>
      <w:pPr>
        <w:pStyle w:val="Heading2"/>
        <w:rPr/>
      </w:pPr>
      <w:r>
        <w:rPr/>
        <w:t>Phase 2: Concept Development—Making Conscious Complexity Choices</w:t>
      </w:r>
    </w:p>
    <w:p>
      <w:pPr>
        <w:pStyle w:val="Normal"/>
        <w:spacing w:before="0" w:after="200"/>
        <w:rPr/>
      </w:pPr>
      <w:r>
        <w:rPr/>
        <w:t>During concept development, organizations explore alternative architectures and make design decisions that substantially influence manufacturing complexity. Decisions made at this phase—joining methods, casting versus forging, hydraulic versus air, surface treatment requirements, system voltage, even packaging, shipping, and storage—cascade through the entire project.</w:t>
      </w:r>
    </w:p>
    <w:p>
      <w:pPr>
        <w:pStyle w:val="Callout"/>
        <w:rPr/>
      </w:pPr>
      <w:r>
        <w:rPr/>
        <w:t>MTL in the Concept Phase asks: "Given what we now understand about industrialization complexity, is the value created by this design choice justified by the risk, cost, and time required to realize it?"</w:t>
      </w:r>
    </w:p>
    <w:p>
      <w:pPr>
        <w:pStyle w:val="Normal"/>
        <w:spacing w:before="0" w:after="200"/>
        <w:rPr/>
      </w:pPr>
      <w:r>
        <w:rPr/>
        <w:t>An MTL comparison might reveal that the single-rotor concept scores two on tolerance and metrology difficulty and assembly complexity, while the dual-rotor concept scores four on both dimensions. The dual-rotor design may deliver twenty percent greater throughput—a meaningful market advantage—but the jump from MTL 2 to MTL 4 doubles the industrialization risk profile. Whether that throughput gain justifies the added schedule exposure, qualification intensity, and supplier constraints becomes an explicit trade-off rather than an inherited consequence of a performance-driven decision.</w:t>
      </w:r>
    </w:p>
    <w:p>
      <w:pPr>
        <w:pStyle w:val="Heading2"/>
        <w:rPr/>
      </w:pPr>
      <w:r>
        <w:rPr/>
        <w:t>Phase 3: Design and Development—Driving Proportionate Rigor</w:t>
      </w:r>
    </w:p>
    <w:p>
      <w:pPr>
        <w:pStyle w:val="Normal"/>
        <w:spacing w:before="0" w:after="200"/>
        <w:rPr/>
      </w:pPr>
      <w:r>
        <w:rPr/>
        <w:t>The design and development phase is where MTL assessment becomes most granular and actionable. Sufficient design definition now exists to score dimensions with greater confidence, and sufficient project timeline remains to act on the findings.</w:t>
      </w:r>
    </w:p>
    <w:p>
      <w:pPr>
        <w:pStyle w:val="Callout"/>
        <w:rPr/>
      </w:pPr>
      <w:r>
        <w:rPr/>
        <w:t>MTL in Phase 3 asks: "Given this design, these materials, these tolerances, these volumes, and this supply base, how hard is this going to be to industrialize?"</w:t>
      </w:r>
    </w:p>
    <w:p>
      <w:pPr>
        <w:pStyle w:val="Normal"/>
        <w:spacing w:before="0" w:after="200"/>
        <w:rPr/>
      </w:pPr>
      <w:r>
        <w:rPr/>
        <w:t>Dimension-specific action triggers provide a mechanism for translating scores into program behaviors. A straightforward policy might require that any dimension scoring four or higher must have a named technical owner and documented mitigation plan reviewed at design reviews. This prevents high scores from being noted in risk registers and subsequently ignored.</w:t>
      </w:r>
    </w:p>
    <w:p>
      <w:pPr>
        <w:pStyle w:val="Normal"/>
        <w:spacing w:before="0" w:after="200"/>
        <w:rPr/>
      </w:pPr>
      <w:r>
        <w:rPr/>
        <w:t>It is worth clarifying the relationship between MTL assessment and Design for Manufacturability practices. DFM is an optimization activity aimed at modifying the design itself to reduce manufacturing difficulty. MTL assessment characterizes the manufacturing challenge as it exists given a particular design configuration. DFM is something you do to reduce complexity; MTL is how you measure and communicate that complexity. When DFM succeeds in relaxing requirements or simplifying approaches, MTL scores should drop accordingly. But when DFM cannot reduce complexity—because the difficulty is inherent to functional requirements—MTL ensures the program responds appropriately through differentiated governance.</w:t>
      </w:r>
    </w:p>
    <w:p>
      <w:pPr>
        <w:pStyle w:val="Callout"/>
        <w:rPr/>
      </w:pPr>
      <w:r>
        <w:rPr/>
        <w:t>While DFM confirms whether alternatives exist; MTL drives program behavior when they do not.</w:t>
      </w:r>
    </w:p>
    <w:p>
      <w:pPr>
        <w:pStyle w:val="Normal"/>
        <w:spacing w:before="0" w:after="200"/>
        <w:rPr/>
      </w:pPr>
      <w:r>
        <w:rPr/>
        <w:t>Prototype and pilot build planning should explicitly reflect MTL assessments. High-MTL elements warrant learning-focused builds earlier in the phase—builds designed to characterize process behavior and refine parameter windows rather than merely verify that nominal designs produce acceptable parts. This level of rigor would be disproportionate for an MTL 2 element but essential for an MTL 4 challenge. The corresponding MRL Category 2 activities (prototype capability demonstration) should scale in intensity and duration based on MTL complexity.</w:t>
      </w:r>
    </w:p>
    <w:p>
      <w:pPr>
        <w:pStyle w:val="Heading2"/>
        <w:rPr/>
      </w:pPr>
      <w:r>
        <w:rPr/>
        <w:t>Phase 4: Production Readiness—Calibrating Qualification Intensity</w:t>
      </w:r>
    </w:p>
    <w:p>
      <w:pPr>
        <w:pStyle w:val="Normal"/>
        <w:spacing w:before="0" w:after="200"/>
        <w:rPr/>
      </w:pPr>
      <w:r>
        <w:rPr/>
        <w:t>Production readiness encompasses process validation, supplier qualification, and production demonstration activities that confirm manufacturing capability prior to launch. MTL provides a framework for calibrating the intensity of these activities, avoiding both under-investment on complex challenges and bureaucratic overburden on simple ones.</w:t>
      </w:r>
    </w:p>
    <w:p>
      <w:pPr>
        <w:pStyle w:val="Callout"/>
        <w:rPr/>
      </w:pPr>
      <w:r>
        <w:rPr/>
        <w:t>Phase 4 MTL asks: "Is our evidence of manufacturing readiness proportionate to the difficulty of what we're claiming to be ready for?"</w:t>
      </w:r>
    </w:p>
    <w:p>
      <w:pPr>
        <w:pStyle w:val="Normal"/>
        <w:spacing w:before="0" w:after="200"/>
        <w:rPr/>
      </w:pPr>
      <w:r>
        <w:rPr/>
        <w:t>Tiered qualification rigor represents the most direct application. MTL 1 and 2 items proceed through streamlined qualification emphasizing supplier capability and basic process documentation. MTL 3 items require extended capability studies and more detailed control plans. MTL 4 and 5 items demand intensive qualification including extended process capability analysis, detailed measurement system validation, and potentially on-site supplier manufacturing reviews.</w:t>
      </w:r>
    </w:p>
    <w:p>
      <w:pPr>
        <w:pStyle w:val="Normal"/>
        <w:spacing w:before="0" w:after="200"/>
        <w:rPr/>
      </w:pPr>
      <w:r>
        <w:rPr>
          <w:b/>
          <w:bCs/>
        </w:rPr>
        <w:t xml:space="preserve">PPAP Integration. </w:t>
      </w:r>
      <w:r>
        <w:rPr/>
        <w:t>For organizations using Production Part Approval Process, MTL should influence PPAP execution. MTL 1-2 components may proceed with Level 1 or 2 submissions where customer relationships permit. MTL 3 components typically warrant Level 3 submissions with full supporting documentation. MTL 4-5 components should default to Level 4 or 5 submissions with on-site verification, and organizations should consider whether the standard 300-part production run provides sufficient evidence of capability for narrow-window processes.</w:t>
      </w:r>
    </w:p>
    <w:p>
      <w:pPr>
        <w:pStyle w:val="Normal"/>
        <w:spacing w:before="0" w:after="200"/>
        <w:rPr/>
      </w:pPr>
      <w:r>
        <w:rPr/>
        <w:t>A readiness-versus-MTL matrix becomes an essential program management tool at this phase. Tracking MRL Category 3 progress alongside MTL scores for each element creates a risk visibility system. Visual tools such as heat maps that plot elements on readiness and MTL axes help leadership attention converge on the right concerns.</w:t>
      </w:r>
    </w:p>
    <w:p>
      <w:pPr>
        <w:pStyle w:val="Heading2"/>
        <w:rPr/>
      </w:pPr>
      <w:r>
        <w:rPr/>
        <w:t>Phase 5: Product Launch and Support—Governing Ramp with Complexity Awareness</w:t>
      </w:r>
    </w:p>
    <w:p>
      <w:pPr>
        <w:pStyle w:val="Callout"/>
        <w:rPr/>
      </w:pPr>
      <w:r>
        <w:rPr/>
        <w:t>MTL continues to inform program behavior through this phase by predicting where problems are most likely to surface and shaping response protocols when they do.</w:t>
      </w:r>
    </w:p>
    <w:p>
      <w:pPr>
        <w:pStyle w:val="Normal"/>
        <w:spacing w:before="0" w:after="200"/>
        <w:rPr/>
      </w:pPr>
      <w:r>
        <w:rPr/>
        <w:t>Ramp rate governance represents a critical application. High-MTL elements warrant slower, more staged production ramps with explicit hold points for quality and yield confirmation before acceleration. A consumer goods manufacturer launching a new premium product with an MTL 4 surface treatment process might structure the ramp as a series of steps—initial production at twenty percent of target rate, pause for quality assessment, increase to fifty percent pending confirmation, pause again, then proceed to full rate.</w:t>
      </w:r>
    </w:p>
    <w:p>
      <w:pPr>
        <w:pStyle w:val="Normal"/>
        <w:spacing w:before="0" w:after="200"/>
        <w:rPr/>
      </w:pPr>
      <w:r>
        <w:rPr/>
        <w:t>An Early Launch Containment plan and associated exit and response criteria should differentiate by MTL. When anomalies emerge on high-MTL processes, the appropriate response often involves stopping production and investigating rather than relying on enhanced screening to catch defects. Pre-establishing these response protocols prevents decisions made under production pressure from underweighting technical risk.</w:t>
      </w:r>
    </w:p>
    <w:p>
      <w:pPr>
        <w:pStyle w:val="Normal"/>
        <w:spacing w:before="0" w:after="200"/>
        <w:rPr/>
      </w:pPr>
      <w:r>
        <w:rPr/>
        <w:t>Capturing learnings during the launch phase becomes especially valuable for high-MTL processes during launch, and a structured Failure Reporting, Analysis, and Corrective Action System (FRACAS) provides the mechanism for converting production experience into effective corrective actions and organizational knowledge.</w:t>
      </w:r>
    </w:p>
    <w:p>
      <w:pPr>
        <w:pStyle w:val="Heading1"/>
        <w:rPr/>
      </w:pPr>
      <w:r>
        <w:rPr/>
        <w:t>Organizational Implementation</w:t>
      </w:r>
    </w:p>
    <w:p>
      <w:pPr>
        <w:pStyle w:val="Normal"/>
        <w:spacing w:before="0" w:after="200"/>
        <w:rPr/>
      </w:pPr>
      <w:r>
        <w:rPr/>
        <w:t>Implementing MTL as an operational framework requires more than publishing scoring rubrics and adding fields to tracking spreadsheets. Successful adoption involves embedding complexity-aware thinking into organizational culture, governance structures, and cross-functional dialogue.</w:t>
      </w:r>
    </w:p>
    <w:p>
      <w:pPr>
        <w:pStyle w:val="Normal"/>
        <w:spacing w:before="0" w:after="200"/>
        <w:rPr/>
      </w:pPr>
      <w:r>
        <w:rPr>
          <w:b/>
          <w:bCs/>
        </w:rPr>
        <w:t xml:space="preserve">Scoring discipline determines framework credibility. </w:t>
      </w:r>
      <w:r>
        <w:rPr/>
        <w:t>If MTL scores are assigned casually, with limited analytical rigor or inconsistent interpretation of anchors, the resulting numbers carry little meaning. Organizations should invest in assessor training, calibration exercises using historical examples, and periodic audits of scoring consistency. Cross-functional scoring—involving representatives from engineering, manufacturing, quality, and supply chain—improves both accuracy and organizational buy-in.</w:t>
      </w:r>
    </w:p>
    <w:p>
      <w:pPr>
        <w:pStyle w:val="Normal"/>
        <w:spacing w:before="0" w:after="200"/>
        <w:rPr/>
      </w:pPr>
      <w:r>
        <w:rPr>
          <w:b/>
          <w:bCs/>
        </w:rPr>
        <w:t xml:space="preserve">Evolution tracking adds substantial value. </w:t>
      </w:r>
      <w:r>
        <w:rPr/>
        <w:t>MTL scores should not be static labels assigned once and forgotten. As programs progress, scores may change—ideally decreasing as technical risks are retired, but sometimes increasing as challenges prove more difficult than initially understood. Recording and explaining these changes creates organizational learning about complexity assessment accuracy.</w:t>
      </w:r>
    </w:p>
    <w:p>
      <w:pPr>
        <w:pStyle w:val="Normal"/>
        <w:spacing w:before="0" w:after="200"/>
        <w:rPr/>
      </w:pPr>
      <w:r>
        <w:rPr>
          <w:b/>
          <w:bCs/>
        </w:rPr>
        <w:t xml:space="preserve">Role clarity by MTL band establishes expected behaviors. </w:t>
      </w:r>
      <w:r>
        <w:rPr/>
        <w:t>Organizations should define explicitly what governance applies at each level. An MTL 3 component might require manufacturing engineering sign-off at design reviews and quarterly status reporting. An MTL 5 component might require dedicated technical leadership, monthly executive reviews, and board-level visibility for major decisions.</w:t>
      </w:r>
    </w:p>
    <w:p>
      <w:pPr>
        <w:pStyle w:val="Normal"/>
        <w:spacing w:before="0" w:after="200"/>
        <w:rPr/>
      </w:pPr>
      <w:r>
        <w:rPr>
          <w:b/>
          <w:bCs/>
        </w:rPr>
        <w:t xml:space="preserve">Feedback loops to design must be institutionalized. </w:t>
      </w:r>
      <w:r>
        <w:rPr/>
        <w:t>Particularly for MTL 4 and 5 programs, the expectation that manufacturing learnings may require design changes should be embedded in program planning from the outset. Creating formal mechanisms for manufacturing-driven design feedback—and ensuring that schedule and budget assumptions accommodate these loops—transforms adversarial manufacturing-design relationships into collaborative problem-solving.</w:t>
      </w:r>
    </w:p>
    <w:p>
      <w:pPr>
        <w:pStyle w:val="Heading1"/>
        <w:rPr/>
      </w:pPr>
      <w:r>
        <w:rPr/>
        <w:t>Common Implementation Pitfalls</w:t>
      </w:r>
    </w:p>
    <w:p>
      <w:pPr>
        <w:pStyle w:val="Callout"/>
        <w:rPr/>
      </w:pPr>
      <w:r>
        <w:rPr/>
        <w:t>Conflating complexity and readiness remains the most fundamental error. MTL explicitly measures terrain difficulty, not progress along the path.</w:t>
      </w:r>
    </w:p>
    <w:p>
      <w:pPr>
        <w:pStyle w:val="Normal"/>
        <w:spacing w:before="0" w:after="200"/>
        <w:rPr/>
      </w:pPr>
      <w:r>
        <w:rPr/>
        <w:t>Organizations that blend these concepts—treating high MTL as synonymous with "not ready" or assuming MTL automatically decreases as programs mature—lose the distinctive insight the framework provides. The combination of readiness and complexity assessments, treated as separate dimensions, creates the full picture of program risk.</w:t>
      </w:r>
    </w:p>
    <w:p>
      <w:pPr>
        <w:pStyle w:val="Normal"/>
        <w:spacing w:before="0" w:after="200"/>
        <w:rPr/>
      </w:pPr>
      <w:r>
        <w:rPr>
          <w:b/>
          <w:bCs/>
        </w:rPr>
        <w:t xml:space="preserve">Underweighting supply chain dimensions </w:t>
      </w:r>
      <w:r>
        <w:rPr/>
        <w:t>occurs frequently, particularly in organizations with strong internal manufacturing capabilities. Technical teams naturally focus on process novelty and tolerance challenges they can see and address through engineering effort. Supply chain risk receives less attention until it manifests as crisis. Disciplined scoring of the supply chain maturity dimension, and treating high scores with the same seriousness as process-related dimensions, corrects this bias.</w:t>
      </w:r>
    </w:p>
    <w:p>
      <w:pPr>
        <w:pStyle w:val="Normal"/>
        <w:spacing w:before="0" w:after="200"/>
        <w:rPr/>
      </w:pPr>
      <w:r>
        <w:rPr>
          <w:b/>
          <w:bCs/>
        </w:rPr>
        <w:t xml:space="preserve">Ignoring interaction effects </w:t>
      </w:r>
      <w:r>
        <w:rPr/>
        <w:t>underestimates complexity on programs where multiple dimensions score moderately high. A component that scores three on process novelty, three on tolerance difficulty, and three on material risk may present more challenge than any individual dimension suggests, because the interactions between these factors multiply difficulty.</w:t>
      </w:r>
    </w:p>
    <w:p>
      <w:pPr>
        <w:pStyle w:val="Normal"/>
        <w:spacing w:before="0" w:after="200"/>
        <w:rPr/>
      </w:pPr>
      <w:r>
        <w:rPr>
          <w:b/>
          <w:bCs/>
        </w:rPr>
        <w:t xml:space="preserve">Allowing scores to become static labels </w:t>
      </w:r>
      <w:r>
        <w:rPr/>
        <w:t>forfeits ongoing value. MTL should be reassessed at major program milestones, when significant design changes occur, and when supplier or process strategies evolve. Scores that never change suggest the framework has become a compliance exercise rather than a genuine risk management tool.</w:t>
      </w:r>
    </w:p>
    <w:p>
      <w:pPr>
        <w:pStyle w:val="Heading1"/>
        <w:rPr/>
      </w:pPr>
      <w:r>
        <w:rPr/>
        <w:t>Conclusion</w:t>
      </w:r>
    </w:p>
    <w:p>
      <w:pPr>
        <w:pStyle w:val="Normal"/>
        <w:spacing w:before="0" w:after="200"/>
        <w:rPr/>
      </w:pPr>
      <w:r>
        <w:rPr/>
        <w:t>The Manufacturing Technical Level framework addresses a persistent gap in how organizations manage industrialization risk. By providing structured methodology for assessing intrinsic manufacturing complexity—separate from and complementary to readiness tracking—MTL enables program governance calibrated to actual challenge difficulty. Business cases become more realistic, concept trades become more informed, development activities become more proportionate, qualification investments become more targeted, and launch governance becomes more appropriate.</w:t>
      </w:r>
    </w:p>
    <w:p>
      <w:pPr>
        <w:pStyle w:val="Normal"/>
        <w:spacing w:before="0" w:after="200"/>
        <w:rPr/>
      </w:pPr>
      <w:r>
        <w:rPr/>
        <w:t>Organizations that develop fluency with complexity assessment gain competitive advantage. They avoid committing to unrealistic schedules on frontier industrialization efforts. They allocate engineering resources proportionate to technical challenge rather than political priority. They structure supplier relationships appropriate to complexity profiles. They govern launches with intensity matched to risk. And they learn systematically from experience, improving complexity assessment accuracy over time.</w:t>
      </w:r>
    </w:p>
    <w:p>
      <w:pPr>
        <w:pStyle w:val="Callout"/>
        <w:rPr/>
      </w:pPr>
      <w:r>
        <w:rPr/>
        <w:t>Manufacturing excellence has always required knowing what you are getting into. The MTL framework transforms that intuition into systematic practice, providing the complexity clarity that enables confident navigation of whatever terrain lies ahead.</w:t>
      </w:r>
    </w:p>
    <w:p>
      <w:pPr>
        <w:pStyle w:val="Normal"/>
        <w:rPr/>
      </w:pPr>
      <w:r>
        <w:rPr/>
      </w:r>
      <w:r>
        <w:br w:type="page"/>
      </w:r>
    </w:p>
    <w:p>
      <w:pPr>
        <w:pStyle w:val="Heading1"/>
        <w:spacing w:before="0" w:after="180"/>
        <w:rPr/>
      </w:pPr>
      <w:r>
        <w:rPr/>
        <w:t>Quick Reference: The Five MTL Levels</w:t>
      </w:r>
    </w:p>
    <w:tbl>
      <w:tblPr>
        <w:tblW w:w="9360" w:type="dxa"/>
        <w:jc w:val="left"/>
        <w:tblInd w:w="0" w:type="dxa"/>
        <w:tblLayout w:type="fixed"/>
        <w:tblCellMar>
          <w:top w:w="0" w:type="dxa"/>
          <w:left w:w="108" w:type="dxa"/>
          <w:bottom w:w="0" w:type="dxa"/>
          <w:right w:w="108" w:type="dxa"/>
        </w:tblCellMar>
      </w:tblPr>
      <w:tblGrid>
        <w:gridCol w:w="1199"/>
        <w:gridCol w:w="2399"/>
        <w:gridCol w:w="5762"/>
      </w:tblGrid>
      <w:tr>
        <w:trPr>
          <w:tblHeader w:val="true"/>
          <w:trHeight w:val="557" w:hRule="atLeast"/>
        </w:trPr>
        <w:tc>
          <w:tcPr>
            <w:tcW w:w="11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Level</w:t>
            </w:r>
          </w:p>
        </w:tc>
        <w:tc>
          <w:tcPr>
            <w:tcW w:w="23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Name</w:t>
            </w:r>
          </w:p>
        </w:tc>
        <w:tc>
          <w:tcPr>
            <w:tcW w:w="576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jc w:val="center"/>
              <w:rPr/>
            </w:pPr>
            <w:r>
              <w:rPr>
                <w:b/>
                <w:bCs/>
              </w:rPr>
              <w:t>Characterization</w:t>
            </w:r>
          </w:p>
        </w:tc>
      </w:tr>
      <w:tr>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1</w:t>
            </w:r>
          </w:p>
        </w:tc>
        <w:tc>
          <w:tcPr>
            <w:tcW w:w="23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Routine Industrialization</w:t>
            </w:r>
          </w:p>
        </w:tc>
        <w:tc>
          <w:tcPr>
            <w:tcW w:w="57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Design may be new, but manufacturing path is thoroughly understood and proven. Standard project controls suffice.</w:t>
            </w:r>
          </w:p>
        </w:tc>
      </w:tr>
      <w:tr>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2</w:t>
            </w:r>
          </w:p>
        </w:tc>
        <w:tc>
          <w:tcPr>
            <w:tcW w:w="23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Targeted Customization</w:t>
            </w:r>
          </w:p>
        </w:tc>
        <w:tc>
          <w:tcPr>
            <w:tcW w:w="57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Core technology known but non-trivial customizations required. Deliberate DFM engagement needed; catastrophic surprises unlikely.</w:t>
            </w:r>
          </w:p>
        </w:tc>
      </w:tr>
      <w:tr>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3</w:t>
            </w:r>
          </w:p>
        </w:tc>
        <w:tc>
          <w:tcPr>
            <w:tcW w:w="23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Multi-Factor Risk</w:t>
            </w:r>
          </w:p>
        </w:tc>
        <w:tc>
          <w:tcPr>
            <w:tcW w:w="57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Multiple complexity drivers overlap. Recipe isn't fully written. DOE-driven process characterization mandatory.</w:t>
            </w:r>
          </w:p>
        </w:tc>
      </w:tr>
      <w:tr>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4</w:t>
            </w:r>
          </w:p>
        </w:tc>
        <w:tc>
          <w:tcPr>
            <w:tcW w:w="23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High Complexity</w:t>
            </w:r>
          </w:p>
        </w:tc>
        <w:tc>
          <w:tcPr>
            <w:tcW w:w="57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Question shifts from "optimize" to "develop." Requires specialists, dedicated technical ownership, possibly custom equipment.</w:t>
            </w:r>
          </w:p>
        </w:tc>
      </w:tr>
      <w:tr>
        <w:trPr/>
        <w:tc>
          <w:tcPr>
            <w:tcW w:w="1199"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5</w:t>
            </w:r>
          </w:p>
        </w:tc>
        <w:tc>
          <w:tcPr>
            <w:tcW w:w="2399" w:type="dxa"/>
            <w:tcBorders>
              <w:top w:val="single" w:sz="2" w:space="0" w:color="999999"/>
              <w:left w:val="single" w:sz="2" w:space="0" w:color="999999"/>
              <w:bottom w:val="single" w:sz="2" w:space="0" w:color="999999"/>
              <w:right w:val="single" w:sz="2" w:space="0" w:color="999999"/>
            </w:tcBorders>
            <w:vAlign w:val="center"/>
          </w:tcPr>
          <w:p>
            <w:pPr>
              <w:pStyle w:val="Normal"/>
              <w:rPr/>
            </w:pPr>
            <w:r>
              <w:rPr/>
              <w:t>Frontier</w:t>
            </w:r>
          </w:p>
        </w:tc>
        <w:tc>
          <w:tcPr>
            <w:tcW w:w="5762" w:type="dxa"/>
            <w:tcBorders>
              <w:top w:val="single" w:sz="2" w:space="0" w:color="999999"/>
              <w:left w:val="single" w:sz="2" w:space="0" w:color="999999"/>
              <w:bottom w:val="single" w:sz="2" w:space="0" w:color="999999"/>
              <w:right w:val="single" w:sz="2" w:space="0" w:color="999999"/>
            </w:tcBorders>
            <w:vAlign w:val="center"/>
          </w:tcPr>
          <w:p>
            <w:pPr>
              <w:pStyle w:val="Normal"/>
              <w:rPr/>
            </w:pPr>
            <w:r>
              <w:rPr/>
              <w:t>Industrial R&amp;D attached to production commitment. Path to stable production genuinely uncertain. Research-like funding and governance required.</w:t>
            </w:r>
          </w:p>
        </w:tc>
      </w:tr>
    </w:tbl>
    <w:p>
      <w:pPr>
        <w:pStyle w:val="Heading2"/>
        <w:spacing w:before="360" w:after="140"/>
        <w:rPr/>
      </w:pPr>
      <w:r>
        <w:rPr/>
        <w:t>Core Principle</w:t>
      </w:r>
    </w:p>
    <w:p>
      <w:pPr>
        <w:pStyle w:val="Callout"/>
        <w:spacing w:before="200" w:after="200"/>
        <w:ind w:left="720" w:right="720"/>
        <w:rPr/>
      </w:pPr>
      <w:r>
        <w:rPr>
          <w:b/>
          <w:bCs/>
        </w:rPr>
        <w:t xml:space="preserve">Readiness tells you how far. Complexity tells you how hard. </w:t>
      </w:r>
      <w:r>
        <w:rPr/>
        <w:t>An "80% ready" MTL 2 item is largely under control. An "80% ready" MTL 5 item may still represent a program-level existential risk. Never interpret readiness without considering complexity.</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11</w:t>
    </w:r>
    <w:r>
      <w:rPr/>
      <w:fldChar w:fldCharType="end"/>
    </w:r>
    <w:r>
      <w:rPr>
        <w:sz w:val="20"/>
        <w:szCs w:val="20"/>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11</w:t>
    </w:r>
    <w:r>
      <w:rPr/>
      <w:fldChar w:fldCharType="end"/>
    </w:r>
    <w:r>
      <w:rPr>
        <w:sz w:val="20"/>
        <w:szCs w:val="20"/>
      </w:rPr>
      <w:t xml:space="preserve"> of </w:t>
    </w:r>
    <w:r>
      <w:rPr/>
      <w:fldChar w:fldCharType="begin"/>
    </w:r>
    <w:r>
      <w:rPr/>
      <w:instrText xml:space="preserve"> NUMPAGES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Manufacturing Technical Level Framework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Manufacturing Technical Level Framework</w:t>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00"/>
      <w:sz w:val="32"/>
      <w:szCs w:val="32"/>
    </w:rPr>
  </w:style>
  <w:style w:type="paragraph" w:styleId="Heading2">
    <w:name w:val="Heading 2"/>
    <w:basedOn w:val="Heading"/>
    <w:qFormat/>
    <w:pPr>
      <w:spacing w:before="280" w:after="140"/>
      <w:outlineLvl w:val="1"/>
    </w:pPr>
    <w:rPr>
      <w:rFonts w:ascii="Arial" w:hAnsi="Arial" w:eastAsia="Arial" w:cs="Arial"/>
      <w:b/>
      <w:bCs/>
      <w:color w:val="000000"/>
      <w:sz w:val="26"/>
      <w:szCs w:val="26"/>
    </w:rPr>
  </w:style>
  <w:style w:type="paragraph" w:styleId="Heading3">
    <w:name w:val="Heading 3"/>
    <w:basedOn w:val="Heading"/>
    <w:qFormat/>
    <w:pPr>
      <w:spacing w:before="24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240"/>
      <w:jc w:val="center"/>
    </w:pPr>
    <w:rPr>
      <w:rFonts w:ascii="Arial" w:hAnsi="Arial" w:eastAsia="Arial" w:cs="Arial"/>
      <w:b/>
      <w:bCs/>
      <w:color w:val="000000"/>
      <w:sz w:val="48"/>
      <w:szCs w:val="48"/>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llout">
    <w:name w:val="Callout"/>
    <w:qFormat/>
    <w:pPr>
      <w:widowControl/>
      <w:suppressAutoHyphens w:val="true"/>
      <w:bidi w:val="0"/>
      <w:spacing w:before="200" w:after="200"/>
      <w:ind w:left="720" w:right="720"/>
      <w:jc w:val="left"/>
    </w:pPr>
    <w:rPr>
      <w:rFonts w:ascii="Arial" w:hAnsi="Arial" w:eastAsia="Arial" w:cs="Arial"/>
      <w:i/>
      <w:iCs/>
      <w:color w:val="333333"/>
      <w:kern w:val="0"/>
      <w:sz w:val="24"/>
      <w:szCs w:val="24"/>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12</Pages>
  <Words>3605</Words>
  <Characters>23290</Characters>
  <CharactersWithSpaces>26699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2025-12-13T17:53:45Z</dcterms:created>
  <dc:creator>Un-named</dc:creator>
  <dc:description/>
  <dc:language>en-US</dc:language>
  <cp:lastModifiedBy/>
  <dcterms:modified xsi:type="dcterms:W3CDTF">2025-12-15T16:51:54Z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