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Risk-Driven Timeline Architecture</w:t>
      </w:r>
    </w:p>
    <w:p>
      <w:pPr>
        <w:pStyle w:val="Normal"/>
        <w:spacing w:before="0" w:after="120"/>
        <w:jc w:val="center"/>
        <w:rPr/>
      </w:pPr>
      <w:r>
        <w:rPr>
          <w:i/>
          <w:iCs/>
          <w:sz w:val="28"/>
          <w:szCs w:val="28"/>
        </w:rPr>
        <w:t>Integrating Manufacturing Complexity and Readiness Assessment</w:t>
      </w:r>
    </w:p>
    <w:p>
      <w:pPr>
        <w:pStyle w:val="Normal"/>
        <w:spacing w:before="0" w:after="480"/>
        <w:jc w:val="center"/>
        <w:rPr/>
      </w:pPr>
      <w:r>
        <w:rPr>
          <w:i/>
          <w:iCs/>
          <w:sz w:val="28"/>
          <w:szCs w:val="28"/>
        </w:rPr>
        <w:t>with Monte Carlo Schedule Analysis</w:t>
      </w:r>
    </w:p>
    <w:p>
      <w:pPr>
        <w:pStyle w:val="Heading1"/>
        <w:rPr/>
      </w:pPr>
      <w:r>
        <w:rPr/>
        <w:t>Abstract</w:t>
      </w:r>
    </w:p>
    <w:p>
      <w:pPr>
        <w:pStyle w:val="Normal"/>
        <w:spacing w:before="0" w:after="200"/>
        <w:rPr/>
      </w:pPr>
      <w:r>
        <w:rPr/>
        <w:t>Traditional project risk management relies heavily on Impact × Probability (I×P) scoring to identify and prioritize threats. While intuitive, this approach fails to account for the architectural properties of project schedules—the network of dependencies, float, critical paths, and integration points that determine how delays propagate through a timeline. More fundamentally, it provides no principled basis for assigning probability and impact scores to manufacturing tasks whose uncertainty derives from technical complexity.</w:t>
      </w:r>
    </w:p>
    <w:p>
      <w:pPr>
        <w:pStyle w:val="Normal"/>
        <w:spacing w:before="0" w:after="200"/>
        <w:rPr/>
      </w:pPr>
      <w:r>
        <w:rPr/>
        <w:t>This document presents a hybrid methodology that transforms I×P scoring from a static prioritization tool into a dynamic engine for Monte Carlo schedule simulation. By grounding probability scores in Manufacturing Technical Level (MTL) complexity assessment and structuring schedule milestones around Manufacturing Readiness Level (MRL) category transitions, the methodology connects subjective risk judgment to both technical reality and schedule architecture. The result is a quantified understanding of schedule risk that reveals which elements actually drive program completion dates.</w:t>
      </w:r>
    </w:p>
    <w:p>
      <w:pPr>
        <w:pStyle w:val="Heading1"/>
        <w:rPr/>
      </w:pPr>
      <w:r>
        <w:rPr/>
        <w:t>Introduction</w:t>
      </w:r>
    </w:p>
    <w:p>
      <w:pPr>
        <w:pStyle w:val="Normal"/>
        <w:spacing w:before="0" w:after="200"/>
        <w:rPr/>
      </w:pPr>
      <w:r>
        <w:rPr/>
        <w:t>Every project manager has encountered the familiar ritual of risk assessment: gather the team, brainstorm potential threats, assign probability and impact scores, multiply them together, and sort the resulting list. The Impact × Probability matrix has become so ubiquitous in project management that it often goes unquestioned. Yet beneath its apparent simplicity lies a fundamental limitation that undermines its utility for schedule risk management: the method knows nothing about the architecture of the timeline it purports to protect.</w:t>
      </w:r>
    </w:p>
    <w:p>
      <w:pPr>
        <w:pStyle w:val="Normal"/>
        <w:spacing w:before="0" w:after="200"/>
        <w:rPr/>
      </w:pPr>
      <w:r>
        <w:rPr/>
        <w:t>A project schedule is not merely a list of tasks with dates—it is a directed network with path lengths, slack, concurrency, resource constraints, merge points, and hard calendar gates. In such a network, risk is not evenly distributed. Some tasks, even those with high uncertainty, cannot move the finish date because they possess adequate float. Other tasks with seemingly modest uncertainty can devastate the timeline because they sit on critical integration sequences. The I×P method, by collapsing all this structural complexity into a single scalar score, creates a dangerous illusion: it suggests that risk can be understood and managed without reference to the network topology that determines whether a delay actually matters.</w:t>
      </w:r>
    </w:p>
    <w:p>
      <w:pPr>
        <w:pStyle w:val="Callout"/>
        <w:rPr/>
      </w:pPr>
      <w:r>
        <w:rPr/>
        <w:t>The same structural blindness afflicts how organizations assess manufacturing readiness. A program can report 80% readiness against milestones on both a routine component and a frontier manufacturing challenge—yet the risk profiles differ dramatically. Readiness metrics without complexity context are as misleading as I×P scores without schedule architecture.</w:t>
      </w:r>
    </w:p>
    <w:p>
      <w:pPr>
        <w:pStyle w:val="Normal"/>
        <w:spacing w:before="0" w:after="200"/>
        <w:rPr/>
      </w:pPr>
      <w:r>
        <w:rPr/>
        <w:t>This document presents a methodology that addresses both forms of structural blindness simultaneously. By treating probability and impact as parameters governed by Manufacturing Technical Level (MTL) complexity scores, and by anchoring schedule milestones to Manufacturing Readiness Level (MRL) category transitions, we create a closed-loop system where complexity assessment informs distribution parameters, readiness assessment defines phase gates, and Monte Carlo simulation reveals which elements drive program-level risk.</w:t>
      </w:r>
    </w:p>
    <w:p>
      <w:pPr>
        <w:pStyle w:val="Heading1"/>
        <w:rPr/>
      </w:pPr>
      <w:r>
        <w:rPr/>
        <w:t>The Three Integrated Frameworks</w:t>
      </w:r>
    </w:p>
    <w:p>
      <w:pPr>
        <w:pStyle w:val="Normal"/>
        <w:spacing w:before="0" w:after="200"/>
        <w:rPr/>
      </w:pPr>
      <w:r>
        <w:rPr/>
        <w:t>The methodology integrates three complementary frameworks, each addressing a distinct dimension of program risk:</w:t>
      </w:r>
    </w:p>
    <w:p>
      <w:pPr>
        <w:pStyle w:val="Normal"/>
        <w:spacing w:before="0" w:after="200"/>
        <w:rPr/>
      </w:pPr>
      <w:r>
        <w:rPr>
          <w:b/>
          <w:bCs/>
        </w:rPr>
        <w:t xml:space="preserve">Manufacturing Technical Level (MTL) </w:t>
      </w:r>
      <w:r>
        <w:rPr/>
        <w:t>answers: How inherently difficult is this manufacturing challenge? MTL is a complexity assessment—it characterizes the terrain, not progress along the path. A five-level scale captures the range from routine industrialization (MTL 1) through frontier manufacturing where process science is still being established (MTL 5).</w:t>
      </w:r>
    </w:p>
    <w:p>
      <w:pPr>
        <w:pStyle w:val="Normal"/>
        <w:spacing w:before="0" w:after="200"/>
        <w:rPr/>
      </w:pPr>
      <w:r>
        <w:rPr>
          <w:b/>
          <w:bCs/>
        </w:rPr>
        <w:t xml:space="preserve">Manufacturing Readiness Levels (MRL) </w:t>
      </w:r>
      <w:r>
        <w:rPr/>
        <w:t>answer: How far has manufacturing maturation progressed? A four-category structure groups the traditional ten MRL levels into functional phases: Feasibility Validated (MRL 1-3), Prototype Capability Demonstrated (MRL 4-6), Production System Validated (MRL 7-8), and Production Rates Demonstrated (MRL 9-10). Each category answers a distinct question about manufacturing maturation.</w:t>
      </w:r>
    </w:p>
    <w:p>
      <w:pPr>
        <w:pStyle w:val="Normal"/>
        <w:spacing w:before="0" w:after="200"/>
        <w:rPr/>
      </w:pPr>
      <w:r>
        <w:rPr>
          <w:b/>
          <w:bCs/>
        </w:rPr>
        <w:t xml:space="preserve">Monte Carlo Schedule Simulation </w:t>
      </w:r>
      <w:r>
        <w:rPr/>
        <w:t>answers: Given uncertainty in task durations, what is the probability distribution of project completion? By sampling from duration distributions thousands of times and propagating results through the dependency network, Monte Carlo reveals how uncertainty flows through schedule architecture to influence completion dates.</w:t>
      </w:r>
    </w:p>
    <w:p>
      <w:pPr>
        <w:pStyle w:val="Callout"/>
        <w:rPr/>
      </w:pPr>
      <w:r>
        <w:rPr/>
        <w:t>The integration works as follows: MTL complexity scores determine probability and impact parameters for each task. These parameters define duration distributions. MRL category transitions provide schedule milestones. Monte Carlo simulation propagates distributions through the milestone network. Criticality Index and Schedule Sensitivity Index identify which tasks actually drive program completion risk.</w:t>
      </w:r>
    </w:p>
    <w:p>
      <w:pPr>
        <w:pStyle w:val="Heading1"/>
        <w:rPr/>
      </w:pPr>
      <w:r>
        <w:rPr/>
        <w:t>The Fundamental Problem with Traditional I×P Scoring</w:t>
      </w:r>
    </w:p>
    <w:p>
      <w:pPr>
        <w:pStyle w:val="Normal"/>
        <w:spacing w:before="0" w:after="200"/>
        <w:rPr/>
      </w:pPr>
      <w:r>
        <w:rPr/>
        <w:t>A project schedule operates like a metropolitan rail network where multiple lines must deliver workers to a central terminal by the start of business. The system doesn't depend on a single route—it requires the express from the northern suburbs, the crosstown connector, the airport link, and the southern local all functioning together. Each line has its own capacity, its own infrastructure, its own vulnerabilities. The city reaches working capacity only when the last constrained line has delivered its passengers.</w:t>
      </w:r>
    </w:p>
    <w:p>
      <w:pPr>
        <w:pStyle w:val="Normal"/>
        <w:spacing w:before="0" w:after="200"/>
        <w:rPr/>
      </w:pPr>
      <w:r>
        <w:rPr/>
        <w:t>I×P scoring is like a transit engineer inspecting each switch, signal, and railcar throughout the network, asking: What's the probability this component fails? How severe would the local disruption be? These are legitimate questions about equipment reliability. But I×P cannot answer the network question that actually matters: If this signal fails, does it delay the overall worker commute?</w:t>
      </w:r>
    </w:p>
    <w:p>
      <w:pPr>
        <w:pStyle w:val="Heading2"/>
        <w:rPr/>
      </w:pPr>
      <w:r>
        <w:rPr/>
        <w:t>Architectural Blindness</w:t>
      </w:r>
    </w:p>
    <w:p>
      <w:pPr>
        <w:pStyle w:val="Normal"/>
        <w:spacing w:before="0" w:after="200"/>
        <w:rPr/>
      </w:pPr>
      <w:r>
        <w:rPr/>
        <w:t>The core issue is that Probability × Impact produces a number that ignores whether a task is structurally capable of delaying the project. This explains why a high-ranked risk might prove harmless while a low-ranked risk turns catastrophic. The structural properties that determine actual schedule impact—float, critical path membership, dependency density, resource contention—are invisible to the traditional approach.</w:t>
      </w:r>
    </w:p>
    <w:p>
      <w:pPr>
        <w:pStyle w:val="Normal"/>
        <w:spacing w:before="0" w:after="200"/>
        <w:rPr/>
      </w:pPr>
      <w:r>
        <w:rPr/>
        <w:t>I×P scoring treats risk as independent from the network structure of the project. A delay on a non-critical activity may have zero effect on the finish date, yet receives the same treatment as a delay on the critical path. The model fails to incorporate float and lag buffers—a "high impact" risk on a task with forty days of free float may have no real timeline consequence, but I×P would still rank it as dangerous.</w:t>
      </w:r>
    </w:p>
    <w:p>
      <w:pPr>
        <w:pStyle w:val="Heading2"/>
        <w:rPr/>
      </w:pPr>
      <w:r>
        <w:rPr/>
        <w:t>The Garbage-In Problem</w:t>
      </w:r>
    </w:p>
    <w:p>
      <w:pPr>
        <w:pStyle w:val="Normal"/>
        <w:spacing w:before="0" w:after="200"/>
        <w:rPr/>
      </w:pPr>
      <w:r>
        <w:rPr/>
        <w:t>Probability and impact values present themselves as numbers, lending a false sense of rigor to what are fundamentally subjective judgments. Probability estimates for schedule disruptions are notoriously unreliable in complex environments—vendor readiness is non-linear, regulatory failures are binary, and first-article builds contain unknown unknowns. Teams anchor on non-analogous past projects, yield to optimistic internal narratives, and succumb to cultural pressures that make it difficult to acknowledge high slip probabilities.</w:t>
      </w:r>
    </w:p>
    <w:p>
      <w:pPr>
        <w:pStyle w:val="Normal"/>
        <w:spacing w:before="0" w:after="200"/>
        <w:rPr/>
      </w:pPr>
      <w:r>
        <w:rPr/>
        <w:t>What's missing is a principled basis for these judgments. When an assessor assigns P=3 and I=4 to a supplier qualification task, what grounds that assessment? Without a structured framework connecting probability to observable complexity characteristics, scoring devolves into opinion aggregation.</w:t>
      </w:r>
    </w:p>
    <w:p>
      <w:pPr>
        <w:pStyle w:val="Callout"/>
        <w:rPr/>
      </w:pPr>
      <w:r>
        <w:rPr/>
        <w:t>This is precisely where MTL complexity assessment adds value. Rather than asking "what's your gut feel about probability," the methodology asks "what is the Manufacturing Technical Level of this task"—a question with structured scoring criteria, dimension-specific anchors, and observable characteristics that multiple assessors can evaluate consistently.</w:t>
      </w:r>
    </w:p>
    <w:p>
      <w:pPr>
        <w:pStyle w:val="Normal"/>
        <w:rPr/>
      </w:pPr>
      <w:r>
        <w:rPr/>
      </w:r>
      <w:r>
        <w:br w:type="page"/>
      </w:r>
    </w:p>
    <w:p>
      <w:pPr>
        <w:pStyle w:val="Heading1"/>
        <w:spacing w:before="0" w:after="180"/>
        <w:rPr/>
      </w:pPr>
      <w:r>
        <w:rPr/>
        <w:t>MTL Complexity as the Foundation for Distribution Parameters</w:t>
      </w:r>
    </w:p>
    <w:p>
      <w:pPr>
        <w:pStyle w:val="Normal"/>
        <w:spacing w:before="0" w:after="200"/>
        <w:rPr/>
      </w:pPr>
      <w:r>
        <w:rPr/>
        <w:t>The key conceptual shift is to treat Probability and Impact not as final scores but as parameters that govern the shape and scale of task duration distributions. MTL complexity assessment provides the principled basis for assigning these parameters.</w:t>
      </w:r>
    </w:p>
    <w:p>
      <w:pPr>
        <w:pStyle w:val="Heading2"/>
        <w:rPr/>
      </w:pPr>
      <w:r>
        <w:rPr/>
        <w:t>MTL to Probability Score Rubric</w:t>
      </w:r>
    </w:p>
    <w:p>
      <w:pPr>
        <w:pStyle w:val="Normal"/>
        <w:spacing w:before="0" w:after="200"/>
        <w:rPr/>
      </w:pPr>
      <w:r>
        <w:rPr/>
        <w:t>The probability dimension captures how uncertain a task's duration is—not merely whether a risk event might occur, but how volatile the task's completion timeline is expected to be. MTL complexity directly informs this assessment because higher complexity means less characterized process behavior, narrower windows, and more potential for unexpected variation.</w:t>
      </w:r>
    </w:p>
    <w:tbl>
      <w:tblPr>
        <w:tblW w:w="9360" w:type="dxa"/>
        <w:jc w:val="left"/>
        <w:tblInd w:w="0" w:type="dxa"/>
        <w:tblLayout w:type="fixed"/>
        <w:tblCellMar>
          <w:top w:w="0" w:type="dxa"/>
          <w:left w:w="108" w:type="dxa"/>
          <w:bottom w:w="0" w:type="dxa"/>
          <w:right w:w="108" w:type="dxa"/>
        </w:tblCellMar>
      </w:tblPr>
      <w:tblGrid>
        <w:gridCol w:w="1199"/>
        <w:gridCol w:w="1799"/>
        <w:gridCol w:w="6362"/>
      </w:tblGrid>
      <w:tr>
        <w:trPr>
          <w:tblHeader w:val="true"/>
          <w:trHeight w:val="554" w:hRule="atLeast"/>
        </w:trPr>
        <w:tc>
          <w:tcPr>
            <w:tcW w:w="11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MTL</w:t>
            </w:r>
          </w:p>
        </w:tc>
        <w:tc>
          <w:tcPr>
            <w:tcW w:w="17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P Score</w:t>
            </w:r>
          </w:p>
        </w:tc>
        <w:tc>
          <w:tcPr>
            <w:tcW w:w="636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Rationale</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1</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 = 1</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Routine processes with well-characterized behavior; uncertainty is bounded and predictable</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2</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 = 2</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Known processes with targeted customization; modest parameter uncertainty from window refinement</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3</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 = 3</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Multiple complexity factors overlap; process windows not fully characterized; DOE required</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4</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 = 4</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Process development required; fundamental uncertainty about capability; specialist knowledge needed</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5</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 = 5</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Frontier manufacturing; process science still being established; high likelihood of discovery work</w:t>
            </w:r>
          </w:p>
        </w:tc>
      </w:tr>
    </w:tbl>
    <w:p>
      <w:pPr>
        <w:pStyle w:val="Heading2"/>
        <w:spacing w:before="280" w:after="140"/>
        <w:rPr/>
      </w:pPr>
      <w:r>
        <w:rPr/>
        <w:t>MTL to Impact Score Rubric</w:t>
      </w:r>
    </w:p>
    <w:p>
      <w:pPr>
        <w:pStyle w:val="Normal"/>
        <w:spacing w:before="0" w:after="200"/>
        <w:rPr/>
      </w:pPr>
      <w:r>
        <w:rPr/>
        <w:t>The impact dimension captures the magnitude of schedule exposure if uncertainty materializes. MTL complexity informs impact because higher complexity typically means fewer recovery options, more constrained supplier alternatives, greater downstream dependency, and higher likelihood that delays cascade rather than absorb.</w:t>
      </w:r>
    </w:p>
    <w:tbl>
      <w:tblPr>
        <w:tblW w:w="9360" w:type="dxa"/>
        <w:jc w:val="left"/>
        <w:tblInd w:w="0" w:type="dxa"/>
        <w:tblLayout w:type="fixed"/>
        <w:tblCellMar>
          <w:top w:w="0" w:type="dxa"/>
          <w:left w:w="108" w:type="dxa"/>
          <w:bottom w:w="0" w:type="dxa"/>
          <w:right w:w="108" w:type="dxa"/>
        </w:tblCellMar>
      </w:tblPr>
      <w:tblGrid>
        <w:gridCol w:w="1199"/>
        <w:gridCol w:w="1799"/>
        <w:gridCol w:w="6362"/>
      </w:tblGrid>
      <w:tr>
        <w:trPr>
          <w:tblHeader w:val="true"/>
          <w:trHeight w:val="554" w:hRule="atLeast"/>
        </w:trPr>
        <w:tc>
          <w:tcPr>
            <w:tcW w:w="11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MTL</w:t>
            </w:r>
          </w:p>
        </w:tc>
        <w:tc>
          <w:tcPr>
            <w:tcW w:w="17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I Score</w:t>
            </w:r>
          </w:p>
        </w:tc>
        <w:tc>
          <w:tcPr>
            <w:tcW w:w="636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Rationale</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1</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I = 1-2</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Delays bounded; workarounds exist; many suppliers can execute; recovery straightforward</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2</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I = 2-3</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Delays recoverable with effort; limited supplier options add modest exposure</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3</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I = 3</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Delays affect downstream integration; limited recovery options; rework cycles likely</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4</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I = 4</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Delays cascade through dependent activities; few alternatives; capital equipment at risk</w:t>
            </w:r>
          </w:p>
        </w:tc>
      </w:tr>
      <w:tr>
        <w:trPr>
          <w:trHeight w:val="554" w:hRule="atLeast"/>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MTL 5</w:t>
            </w:r>
          </w:p>
        </w:tc>
        <w:tc>
          <w:tcPr>
            <w:tcW w:w="1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I = 5</w:t>
            </w:r>
          </w:p>
        </w:tc>
        <w:tc>
          <w:tcPr>
            <w:tcW w:w="63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Delays potentially phase-resetting; design feedback loops likely; program-level consequences</w:t>
            </w:r>
          </w:p>
        </w:tc>
      </w:tr>
    </w:tbl>
    <w:p>
      <w:pPr>
        <w:pStyle w:val="Heading2"/>
        <w:spacing w:before="280" w:after="140"/>
        <w:rPr/>
      </w:pPr>
      <w:r>
        <w:rPr/>
        <w:t>Probability Score to Distribution Shape</w:t>
      </w:r>
    </w:p>
    <w:p>
      <w:pPr>
        <w:pStyle w:val="Normal"/>
        <w:spacing w:before="0" w:after="200"/>
        <w:rPr/>
      </w:pPr>
      <w:r>
        <w:rPr/>
        <w:t>With MTL-grounded probability scores established, the next step maps these scores to distribution shape parameters. Higher probability scores translate to wider distributions with more prominent tails.</w:t>
      </w:r>
    </w:p>
    <w:tbl>
      <w:tblPr>
        <w:tblW w:w="9360" w:type="dxa"/>
        <w:jc w:val="left"/>
        <w:tblInd w:w="0" w:type="dxa"/>
        <w:tblLayout w:type="fixed"/>
        <w:tblCellMar>
          <w:top w:w="0" w:type="dxa"/>
          <w:left w:w="108" w:type="dxa"/>
          <w:bottom w:w="0" w:type="dxa"/>
          <w:right w:w="108" w:type="dxa"/>
        </w:tblCellMar>
      </w:tblPr>
      <w:tblGrid>
        <w:gridCol w:w="998"/>
        <w:gridCol w:w="2202"/>
        <w:gridCol w:w="2307"/>
        <w:gridCol w:w="3852"/>
      </w:tblGrid>
      <w:tr>
        <w:trPr>
          <w:tblHeader w:val="true"/>
          <w:trHeight w:val="554" w:hRule="atLeast"/>
        </w:trPr>
        <w:tc>
          <w:tcPr>
            <w:tcW w:w="99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P</w:t>
            </w:r>
          </w:p>
        </w:tc>
        <w:tc>
          <w:tcPr>
            <w:tcW w:w="220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Interpretation</w:t>
            </w:r>
          </w:p>
        </w:tc>
        <w:tc>
          <w:tcPr>
            <w:tcW w:w="2307"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Base Spread</w:t>
            </w:r>
          </w:p>
        </w:tc>
        <w:tc>
          <w:tcPr>
            <w:tcW w:w="385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Distribution Type</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1</w:t>
            </w:r>
          </w:p>
        </w:tc>
        <w:tc>
          <w:tcPr>
            <w:tcW w:w="2202"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Rare / Very Unlikely</w:t>
            </w:r>
          </w:p>
        </w:tc>
        <w:tc>
          <w:tcPr>
            <w:tcW w:w="23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±5% (P10-P90)</w:t>
            </w:r>
          </w:p>
        </w:tc>
        <w:tc>
          <w:tcPr>
            <w:tcW w:w="3852"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t>Narrow Triangular</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2</w:t>
            </w:r>
          </w:p>
        </w:tc>
        <w:tc>
          <w:tcPr>
            <w:tcW w:w="2202"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Low Likelihood</w:t>
            </w:r>
          </w:p>
        </w:tc>
        <w:tc>
          <w:tcPr>
            <w:tcW w:w="23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±10%</w:t>
            </w:r>
          </w:p>
        </w:tc>
        <w:tc>
          <w:tcPr>
            <w:tcW w:w="3852"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t>Triangular</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3</w:t>
            </w:r>
          </w:p>
        </w:tc>
        <w:tc>
          <w:tcPr>
            <w:tcW w:w="2202"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Moderate Uncertainty</w:t>
            </w:r>
          </w:p>
        </w:tc>
        <w:tc>
          <w:tcPr>
            <w:tcW w:w="23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±20%</w:t>
            </w:r>
          </w:p>
        </w:tc>
        <w:tc>
          <w:tcPr>
            <w:tcW w:w="3852"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t>BetaPERT</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4</w:t>
            </w:r>
          </w:p>
        </w:tc>
        <w:tc>
          <w:tcPr>
            <w:tcW w:w="2202"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Significant Uncertainty</w:t>
            </w:r>
          </w:p>
        </w:tc>
        <w:tc>
          <w:tcPr>
            <w:tcW w:w="23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±30-40%</w:t>
            </w:r>
          </w:p>
        </w:tc>
        <w:tc>
          <w:tcPr>
            <w:tcW w:w="3852"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t>Skewed BetaPERT (α/β ≈ 3.5)</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5</w:t>
            </w:r>
          </w:p>
        </w:tc>
        <w:tc>
          <w:tcPr>
            <w:tcW w:w="2202"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Volatile / Unstable</w:t>
            </w:r>
          </w:p>
        </w:tc>
        <w:tc>
          <w:tcPr>
            <w:tcW w:w="23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±80%+ (fat tail)</w:t>
            </w:r>
          </w:p>
        </w:tc>
        <w:tc>
          <w:tcPr>
            <w:tcW w:w="3852"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t>Heavy-tail Custom (α/β ≈ 5.0+)</w:t>
            </w:r>
          </w:p>
        </w:tc>
      </w:tr>
    </w:tbl>
    <w:p>
      <w:pPr>
        <w:pStyle w:val="Heading2"/>
        <w:spacing w:before="280" w:after="140"/>
        <w:rPr/>
      </w:pPr>
      <w:r>
        <w:rPr/>
        <w:t>Impact Score to Distribution Scale</w:t>
      </w:r>
    </w:p>
    <w:p>
      <w:pPr>
        <w:pStyle w:val="Normal"/>
        <w:spacing w:before="0" w:after="200"/>
        <w:rPr/>
      </w:pPr>
      <w:r>
        <w:rPr/>
        <w:t>The impact dimension stretches the distribution, allowing for larger potential delays. A scale multiplier modulates the base spread determined by probability.</w:t>
      </w:r>
    </w:p>
    <w:tbl>
      <w:tblPr>
        <w:tblW w:w="9360" w:type="dxa"/>
        <w:jc w:val="left"/>
        <w:tblInd w:w="0" w:type="dxa"/>
        <w:tblLayout w:type="fixed"/>
        <w:tblCellMar>
          <w:top w:w="0" w:type="dxa"/>
          <w:left w:w="108" w:type="dxa"/>
          <w:bottom w:w="0" w:type="dxa"/>
          <w:right w:w="108" w:type="dxa"/>
        </w:tblCellMar>
      </w:tblPr>
      <w:tblGrid>
        <w:gridCol w:w="998"/>
        <w:gridCol w:w="2401"/>
        <w:gridCol w:w="3083"/>
        <w:gridCol w:w="2877"/>
      </w:tblGrid>
      <w:tr>
        <w:trPr>
          <w:tblHeader w:val="true"/>
          <w:trHeight w:val="554" w:hRule="atLeast"/>
        </w:trPr>
        <w:tc>
          <w:tcPr>
            <w:tcW w:w="99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I</w:t>
            </w:r>
          </w:p>
        </w:tc>
        <w:tc>
          <w:tcPr>
            <w:tcW w:w="240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Interpretation</w:t>
            </w:r>
          </w:p>
        </w:tc>
        <w:tc>
          <w:tcPr>
            <w:tcW w:w="3083"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Duration Effect</w:t>
            </w:r>
          </w:p>
        </w:tc>
        <w:tc>
          <w:tcPr>
            <w:tcW w:w="2877"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Scale Multiplier</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1</w:t>
            </w:r>
          </w:p>
        </w:tc>
        <w:tc>
          <w:tcPr>
            <w:tcW w:w="2401" w:type="dxa"/>
            <w:tcBorders>
              <w:top w:val="single" w:sz="2" w:space="0" w:color="999999"/>
              <w:left w:val="single" w:sz="2" w:space="0" w:color="999999"/>
              <w:bottom w:val="single" w:sz="2" w:space="0" w:color="999999"/>
              <w:right w:val="single" w:sz="2" w:space="0" w:color="999999"/>
            </w:tcBorders>
            <w:vAlign w:val="center"/>
          </w:tcPr>
          <w:p>
            <w:pPr>
              <w:pStyle w:val="Normal"/>
              <w:rPr/>
            </w:pPr>
            <w:r>
              <w:rPr/>
              <w:t>Minimal Disruption</w:t>
            </w:r>
          </w:p>
        </w:tc>
        <w:tc>
          <w:tcPr>
            <w:tcW w:w="3083" w:type="dxa"/>
            <w:tcBorders>
              <w:top w:val="single" w:sz="2" w:space="0" w:color="999999"/>
              <w:left w:val="single" w:sz="2" w:space="0" w:color="999999"/>
              <w:bottom w:val="single" w:sz="2" w:space="0" w:color="999999"/>
              <w:right w:val="single" w:sz="2" w:space="0" w:color="999999"/>
            </w:tcBorders>
            <w:vAlign w:val="center"/>
          </w:tcPr>
          <w:p>
            <w:pPr>
              <w:pStyle w:val="Normal"/>
              <w:rPr/>
            </w:pPr>
            <w:r>
              <w:rPr/>
              <w:t>+0-2 days</w:t>
            </w:r>
          </w:p>
        </w:tc>
        <w:tc>
          <w:tcPr>
            <w:tcW w:w="2877" w:type="dxa"/>
            <w:tcBorders>
              <w:top w:val="single" w:sz="2" w:space="0" w:color="999999"/>
              <w:left w:val="single" w:sz="2" w:space="0" w:color="999999"/>
              <w:bottom w:val="single" w:sz="2" w:space="0" w:color="999999"/>
              <w:right w:val="single" w:sz="2" w:space="0" w:color="999999"/>
            </w:tcBorders>
            <w:vAlign w:val="center"/>
          </w:tcPr>
          <w:p>
            <w:pPr>
              <w:pStyle w:val="Normal"/>
              <w:rPr/>
            </w:pPr>
            <w:r>
              <w:rPr/>
              <w:t>0.5×</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2</w:t>
            </w:r>
          </w:p>
        </w:tc>
        <w:tc>
          <w:tcPr>
            <w:tcW w:w="2401" w:type="dxa"/>
            <w:tcBorders>
              <w:top w:val="single" w:sz="2" w:space="0" w:color="999999"/>
              <w:left w:val="single" w:sz="2" w:space="0" w:color="999999"/>
              <w:bottom w:val="single" w:sz="2" w:space="0" w:color="999999"/>
              <w:right w:val="single" w:sz="2" w:space="0" w:color="999999"/>
            </w:tcBorders>
            <w:vAlign w:val="center"/>
          </w:tcPr>
          <w:p>
            <w:pPr>
              <w:pStyle w:val="Normal"/>
              <w:rPr/>
            </w:pPr>
            <w:r>
              <w:rPr/>
              <w:t>Low Impact</w:t>
            </w:r>
          </w:p>
        </w:tc>
        <w:tc>
          <w:tcPr>
            <w:tcW w:w="3083" w:type="dxa"/>
            <w:tcBorders>
              <w:top w:val="single" w:sz="2" w:space="0" w:color="999999"/>
              <w:left w:val="single" w:sz="2" w:space="0" w:color="999999"/>
              <w:bottom w:val="single" w:sz="2" w:space="0" w:color="999999"/>
              <w:right w:val="single" w:sz="2" w:space="0" w:color="999999"/>
            </w:tcBorders>
            <w:vAlign w:val="center"/>
          </w:tcPr>
          <w:p>
            <w:pPr>
              <w:pStyle w:val="Normal"/>
              <w:rPr/>
            </w:pPr>
            <w:r>
              <w:rPr/>
              <w:t>+3-7 days</w:t>
            </w:r>
          </w:p>
        </w:tc>
        <w:tc>
          <w:tcPr>
            <w:tcW w:w="2877" w:type="dxa"/>
            <w:tcBorders>
              <w:top w:val="single" w:sz="2" w:space="0" w:color="999999"/>
              <w:left w:val="single" w:sz="2" w:space="0" w:color="999999"/>
              <w:bottom w:val="single" w:sz="2" w:space="0" w:color="999999"/>
              <w:right w:val="single" w:sz="2" w:space="0" w:color="999999"/>
            </w:tcBorders>
            <w:vAlign w:val="center"/>
          </w:tcPr>
          <w:p>
            <w:pPr>
              <w:pStyle w:val="Normal"/>
              <w:rPr/>
            </w:pPr>
            <w:r>
              <w:rPr/>
              <w:t>0.75×</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3</w:t>
            </w:r>
          </w:p>
        </w:tc>
        <w:tc>
          <w:tcPr>
            <w:tcW w:w="2401" w:type="dxa"/>
            <w:tcBorders>
              <w:top w:val="single" w:sz="2" w:space="0" w:color="999999"/>
              <w:left w:val="single" w:sz="2" w:space="0" w:color="999999"/>
              <w:bottom w:val="single" w:sz="2" w:space="0" w:color="999999"/>
              <w:right w:val="single" w:sz="2" w:space="0" w:color="999999"/>
            </w:tcBorders>
            <w:vAlign w:val="center"/>
          </w:tcPr>
          <w:p>
            <w:pPr>
              <w:pStyle w:val="Normal"/>
              <w:rPr/>
            </w:pPr>
            <w:r>
              <w:rPr/>
              <w:t>Moderate Impact</w:t>
            </w:r>
          </w:p>
        </w:tc>
        <w:tc>
          <w:tcPr>
            <w:tcW w:w="3083" w:type="dxa"/>
            <w:tcBorders>
              <w:top w:val="single" w:sz="2" w:space="0" w:color="999999"/>
              <w:left w:val="single" w:sz="2" w:space="0" w:color="999999"/>
              <w:bottom w:val="single" w:sz="2" w:space="0" w:color="999999"/>
              <w:right w:val="single" w:sz="2" w:space="0" w:color="999999"/>
            </w:tcBorders>
            <w:vAlign w:val="center"/>
          </w:tcPr>
          <w:p>
            <w:pPr>
              <w:pStyle w:val="Normal"/>
              <w:rPr/>
            </w:pPr>
            <w:r>
              <w:rPr/>
              <w:t>+1-2 weeks</w:t>
            </w:r>
          </w:p>
        </w:tc>
        <w:tc>
          <w:tcPr>
            <w:tcW w:w="2877" w:type="dxa"/>
            <w:tcBorders>
              <w:top w:val="single" w:sz="2" w:space="0" w:color="999999"/>
              <w:left w:val="single" w:sz="2" w:space="0" w:color="999999"/>
              <w:bottom w:val="single" w:sz="2" w:space="0" w:color="999999"/>
              <w:right w:val="single" w:sz="2" w:space="0" w:color="999999"/>
            </w:tcBorders>
            <w:vAlign w:val="center"/>
          </w:tcPr>
          <w:p>
            <w:pPr>
              <w:pStyle w:val="Normal"/>
              <w:rPr/>
            </w:pPr>
            <w:r>
              <w:rPr/>
              <w:t>1.0×</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4</w:t>
            </w:r>
          </w:p>
        </w:tc>
        <w:tc>
          <w:tcPr>
            <w:tcW w:w="2401" w:type="dxa"/>
            <w:tcBorders>
              <w:top w:val="single" w:sz="2" w:space="0" w:color="999999"/>
              <w:left w:val="single" w:sz="2" w:space="0" w:color="999999"/>
              <w:bottom w:val="single" w:sz="2" w:space="0" w:color="999999"/>
              <w:right w:val="single" w:sz="2" w:space="0" w:color="999999"/>
            </w:tcBorders>
            <w:vAlign w:val="center"/>
          </w:tcPr>
          <w:p>
            <w:pPr>
              <w:pStyle w:val="Normal"/>
              <w:rPr/>
            </w:pPr>
            <w:r>
              <w:rPr/>
              <w:t>High Impact</w:t>
            </w:r>
          </w:p>
        </w:tc>
        <w:tc>
          <w:tcPr>
            <w:tcW w:w="3083" w:type="dxa"/>
            <w:tcBorders>
              <w:top w:val="single" w:sz="2" w:space="0" w:color="999999"/>
              <w:left w:val="single" w:sz="2" w:space="0" w:color="999999"/>
              <w:bottom w:val="single" w:sz="2" w:space="0" w:color="999999"/>
              <w:right w:val="single" w:sz="2" w:space="0" w:color="999999"/>
            </w:tcBorders>
            <w:vAlign w:val="center"/>
          </w:tcPr>
          <w:p>
            <w:pPr>
              <w:pStyle w:val="Normal"/>
              <w:rPr/>
            </w:pPr>
            <w:r>
              <w:rPr/>
              <w:t>+3-5 weeks</w:t>
            </w:r>
          </w:p>
        </w:tc>
        <w:tc>
          <w:tcPr>
            <w:tcW w:w="2877" w:type="dxa"/>
            <w:tcBorders>
              <w:top w:val="single" w:sz="2" w:space="0" w:color="999999"/>
              <w:left w:val="single" w:sz="2" w:space="0" w:color="999999"/>
              <w:bottom w:val="single" w:sz="2" w:space="0" w:color="999999"/>
              <w:right w:val="single" w:sz="2" w:space="0" w:color="999999"/>
            </w:tcBorders>
            <w:vAlign w:val="center"/>
          </w:tcPr>
          <w:p>
            <w:pPr>
              <w:pStyle w:val="Normal"/>
              <w:rPr/>
            </w:pPr>
            <w:r>
              <w:rPr/>
              <w:t>1.25×</w:t>
            </w:r>
          </w:p>
        </w:tc>
      </w:tr>
      <w:tr>
        <w:trPr>
          <w:trHeight w:val="554" w:hRule="atLeast"/>
        </w:trPr>
        <w:tc>
          <w:tcPr>
            <w:tcW w:w="9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5</w:t>
            </w:r>
          </w:p>
        </w:tc>
        <w:tc>
          <w:tcPr>
            <w:tcW w:w="2401" w:type="dxa"/>
            <w:tcBorders>
              <w:top w:val="single" w:sz="2" w:space="0" w:color="999999"/>
              <w:left w:val="single" w:sz="2" w:space="0" w:color="999999"/>
              <w:bottom w:val="single" w:sz="2" w:space="0" w:color="999999"/>
              <w:right w:val="single" w:sz="2" w:space="0" w:color="999999"/>
            </w:tcBorders>
            <w:vAlign w:val="center"/>
          </w:tcPr>
          <w:p>
            <w:pPr>
              <w:pStyle w:val="Normal"/>
              <w:rPr/>
            </w:pPr>
            <w:r>
              <w:rPr/>
              <w:t>Severe Impact</w:t>
            </w:r>
          </w:p>
        </w:tc>
        <w:tc>
          <w:tcPr>
            <w:tcW w:w="3083" w:type="dxa"/>
            <w:tcBorders>
              <w:top w:val="single" w:sz="2" w:space="0" w:color="999999"/>
              <w:left w:val="single" w:sz="2" w:space="0" w:color="999999"/>
              <w:bottom w:val="single" w:sz="2" w:space="0" w:color="999999"/>
              <w:right w:val="single" w:sz="2" w:space="0" w:color="999999"/>
            </w:tcBorders>
            <w:vAlign w:val="center"/>
          </w:tcPr>
          <w:p>
            <w:pPr>
              <w:pStyle w:val="Normal"/>
              <w:rPr/>
            </w:pPr>
            <w:r>
              <w:rPr/>
              <w:t>+6 weeks or phase reset</w:t>
            </w:r>
          </w:p>
        </w:tc>
        <w:tc>
          <w:tcPr>
            <w:tcW w:w="2877" w:type="dxa"/>
            <w:tcBorders>
              <w:top w:val="single" w:sz="2" w:space="0" w:color="999999"/>
              <w:left w:val="single" w:sz="2" w:space="0" w:color="999999"/>
              <w:bottom w:val="single" w:sz="2" w:space="0" w:color="999999"/>
              <w:right w:val="single" w:sz="2" w:space="0" w:color="999999"/>
            </w:tcBorders>
            <w:vAlign w:val="center"/>
          </w:tcPr>
          <w:p>
            <w:pPr>
              <w:pStyle w:val="Normal"/>
              <w:rPr/>
            </w:pPr>
            <w:r>
              <w:rPr/>
              <w:t>1.5×</w:t>
            </w:r>
          </w:p>
        </w:tc>
      </w:tr>
    </w:tbl>
    <w:p>
      <w:pPr>
        <w:pStyle w:val="Normal"/>
        <w:rPr/>
      </w:pPr>
      <w:r>
        <w:rPr/>
      </w:r>
      <w:r>
        <w:br w:type="page"/>
      </w:r>
    </w:p>
    <w:p>
      <w:pPr>
        <w:pStyle w:val="Heading1"/>
        <w:spacing w:before="0" w:after="180"/>
        <w:rPr/>
      </w:pPr>
      <w:r>
        <w:rPr/>
        <w:t>Early-Fail vs. Late-Fail: The Temporal Dimension of Risk</w:t>
      </w:r>
    </w:p>
    <w:p>
      <w:pPr>
        <w:pStyle w:val="Normal"/>
        <w:spacing w:before="0" w:after="200"/>
        <w:rPr/>
      </w:pPr>
      <w:r>
        <w:rPr/>
        <w:t>Not all tasks fail in the same way. Some reveal problems quickly; others appear stable until the very end, then collapse catastrophically. This temporal dimension of risk—whether a task exhibits early-fail or late-fail behavior—profoundly affects how its uncertainty propagates through the schedule. Traditional I×P scoring cannot express this distinction, but MTL complexity assessment directly informs it.</w:t>
      </w:r>
    </w:p>
    <w:p>
      <w:pPr>
        <w:pStyle w:val="Heading2"/>
        <w:rPr/>
      </w:pPr>
      <w:r>
        <w:rPr/>
        <w:t>Early-Fail Behavior: MTL 1-2 Tasks</w:t>
      </w:r>
    </w:p>
    <w:p>
      <w:pPr>
        <w:pStyle w:val="Normal"/>
        <w:spacing w:before="0" w:after="200"/>
        <w:rPr/>
      </w:pPr>
      <w:r>
        <w:rPr/>
        <w:t>Early-fail tasks reveal bad news quickly. Most of the uncertainty is front-loaded—if the task is going to slip, you discover it early in the execution window. These tasks typically have narrow, symmetric or modestly skewed distributions with light tails. Risk is often detectable through early prototypes, early supplier feedback, or early engineering signals.</w:t>
      </w:r>
    </w:p>
    <w:p>
      <w:pPr>
        <w:pStyle w:val="Normal"/>
        <w:spacing w:before="0" w:after="200"/>
        <w:rPr/>
      </w:pPr>
      <w:r>
        <w:rPr/>
        <w:t>MTL 1-2 tasks exhibit early-fail behavior because their processes are well-characterized. Material procurement with stable suppliers reveals lead time problems within days of order placement. Internal design tasks with rapid iteration cycles expose missing inputs or ambiguous requirements immediately. Fixture builds in mature machine shops surface interference issues early in fabrication, not at final acceptance. When uncertainty is front-loaded, the right-hand tail stays short, preventing phantom schedule risk from distorting Monte Carlo results.</w:t>
      </w:r>
    </w:p>
    <w:p>
      <w:pPr>
        <w:pStyle w:val="Heading2"/>
        <w:rPr/>
      </w:pPr>
      <w:r>
        <w:rPr/>
        <w:t>Late-Fail Behavior: MTL 4-5 Tasks</w:t>
      </w:r>
    </w:p>
    <w:p>
      <w:pPr>
        <w:pStyle w:val="Normal"/>
        <w:spacing w:before="0" w:after="200"/>
        <w:rPr/>
      </w:pPr>
      <w:r>
        <w:rPr/>
        <w:t>Late-fail tasks are the true schedule killers in complex programs. Work appears on track until near the end—often at integration, test, or validation milestones—when failure suddenly emerges. Duration uncertainty is heavily right-skewed, with tight clustering around the most-likely estimate but explosive tails at high percentiles.</w:t>
      </w:r>
    </w:p>
    <w:p>
      <w:pPr>
        <w:pStyle w:val="Callout"/>
        <w:rPr/>
      </w:pPr>
      <w:r>
        <w:rPr/>
        <w:t>MTL 4-5 tasks exhibit late-fail behavior precisely because their complexity characteristics—narrow process windows, novel materials, limited supplier capability, frontier manufacturing science—create risks that remain hidden until the system is assembled, tested, or validated. The problems aren't visible until you try to do the hard thing at scale.</w:t>
      </w:r>
    </w:p>
    <w:p>
      <w:pPr>
        <w:pStyle w:val="Normal"/>
        <w:spacing w:before="0" w:after="200"/>
        <w:rPr/>
      </w:pPr>
      <w:r>
        <w:rPr/>
        <w:t>Supplier readiness on high-MTL components exemplifies late-fail behavior. The supplier reports being "on track" throughout the lead time, but untested processes or understaffed capacity only reveal cracks at pre-shipment inspection, first-article runs, or acceptance testing. System integration events follow the same pattern: everything looks green until the whole system is assembled, when interface mismatches or timing issues appear. Qualification testing exhibits late-fail dynamics—early tests pass, creating false confidence, until the final qualification run fails and triggers rework.</w:t>
      </w:r>
    </w:p>
    <w:p>
      <w:pPr>
        <w:pStyle w:val="Heading2"/>
        <w:rPr/>
      </w:pPr>
      <w:r>
        <w:rPr/>
        <w:t>MTL-Driven Distribution Selection</w:t>
      </w:r>
    </w:p>
    <w:p>
      <w:pPr>
        <w:pStyle w:val="Normal"/>
        <w:spacing w:before="0" w:after="200"/>
        <w:rPr/>
      </w:pPr>
      <w:r>
        <w:rPr/>
        <w:t>The following table provides the complete mapping from MTL level to distribution characteristics:</w:t>
      </w:r>
    </w:p>
    <w:p>
      <w:pPr>
        <w:pStyle w:val="Normal"/>
        <w:spacing w:before="0" w:after="200"/>
        <w:rPr/>
      </w:pPr>
      <w:r>
        <w:rPr/>
      </w:r>
    </w:p>
    <w:tbl>
      <w:tblPr>
        <w:tblW w:w="9107" w:type="dxa"/>
        <w:jc w:val="left"/>
        <w:tblInd w:w="0" w:type="dxa"/>
        <w:tblLayout w:type="fixed"/>
        <w:tblCellMar>
          <w:top w:w="0" w:type="dxa"/>
          <w:left w:w="108" w:type="dxa"/>
          <w:bottom w:w="0" w:type="dxa"/>
          <w:right w:w="108" w:type="dxa"/>
        </w:tblCellMar>
      </w:tblPr>
      <w:tblGrid>
        <w:gridCol w:w="899"/>
        <w:gridCol w:w="1201"/>
        <w:gridCol w:w="2850"/>
        <w:gridCol w:w="2250"/>
        <w:gridCol w:w="1907"/>
      </w:tblGrid>
      <w:tr>
        <w:trPr>
          <w:tblHeader w:val="true"/>
          <w:trHeight w:val="536" w:hRule="atLeast"/>
        </w:trPr>
        <w:tc>
          <w:tcPr>
            <w:tcW w:w="8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sz w:val="26"/>
                <w:szCs w:val="26"/>
              </w:rPr>
            </w:pPr>
            <w:r>
              <w:rPr>
                <w:b/>
                <w:bCs/>
                <w:sz w:val="26"/>
                <w:szCs w:val="26"/>
              </w:rPr>
              <w:t>MTL</w:t>
            </w:r>
          </w:p>
        </w:tc>
        <w:tc>
          <w:tcPr>
            <w:tcW w:w="120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sz w:val="26"/>
                <w:szCs w:val="26"/>
              </w:rPr>
            </w:pPr>
            <w:r>
              <w:rPr>
                <w:b/>
                <w:bCs/>
                <w:sz w:val="26"/>
                <w:szCs w:val="26"/>
              </w:rPr>
              <w:t>P Score</w:t>
            </w:r>
          </w:p>
        </w:tc>
        <w:tc>
          <w:tcPr>
            <w:tcW w:w="285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sz w:val="26"/>
                <w:szCs w:val="26"/>
              </w:rPr>
            </w:pPr>
            <w:r>
              <w:rPr>
                <w:b/>
                <w:bCs/>
                <w:sz w:val="26"/>
                <w:szCs w:val="26"/>
              </w:rPr>
              <w:t>Distribution</w:t>
            </w:r>
          </w:p>
        </w:tc>
        <w:tc>
          <w:tcPr>
            <w:tcW w:w="225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sz w:val="26"/>
                <w:szCs w:val="26"/>
              </w:rPr>
            </w:pPr>
            <w:r>
              <w:rPr>
                <w:b/>
                <w:bCs/>
                <w:sz w:val="26"/>
                <w:szCs w:val="26"/>
              </w:rPr>
              <w:t>Fail Behavior</w:t>
            </w:r>
          </w:p>
        </w:tc>
        <w:tc>
          <w:tcPr>
            <w:tcW w:w="1907"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sz w:val="26"/>
                <w:szCs w:val="26"/>
              </w:rPr>
            </w:pPr>
            <w:r>
              <w:rPr>
                <w:b/>
                <w:bCs/>
                <w:sz w:val="26"/>
                <w:szCs w:val="26"/>
              </w:rPr>
              <w:t>α/β Ratio</w:t>
            </w:r>
          </w:p>
        </w:tc>
      </w:tr>
      <w:tr>
        <w:trPr>
          <w:trHeight w:val="632" w:hRule="atLeast"/>
        </w:trPr>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1</w:t>
            </w:r>
          </w:p>
        </w:tc>
        <w:tc>
          <w:tcPr>
            <w:tcW w:w="12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1</w:t>
            </w:r>
          </w:p>
        </w:tc>
        <w:tc>
          <w:tcPr>
            <w:tcW w:w="28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Narrow Triangular</w:t>
            </w:r>
          </w:p>
        </w:tc>
        <w:tc>
          <w:tcPr>
            <w:tcW w:w="22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Early-fail</w:t>
            </w:r>
          </w:p>
        </w:tc>
        <w:tc>
          <w:tcPr>
            <w:tcW w:w="19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w:t>
            </w:r>
          </w:p>
        </w:tc>
      </w:tr>
      <w:tr>
        <w:trPr>
          <w:trHeight w:val="632" w:hRule="atLeast"/>
        </w:trPr>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2</w:t>
            </w:r>
          </w:p>
        </w:tc>
        <w:tc>
          <w:tcPr>
            <w:tcW w:w="12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2</w:t>
            </w:r>
          </w:p>
        </w:tc>
        <w:tc>
          <w:tcPr>
            <w:tcW w:w="28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Triangular</w:t>
            </w:r>
          </w:p>
        </w:tc>
        <w:tc>
          <w:tcPr>
            <w:tcW w:w="22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Early-fail</w:t>
            </w:r>
          </w:p>
        </w:tc>
        <w:tc>
          <w:tcPr>
            <w:tcW w:w="19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w:t>
            </w:r>
          </w:p>
        </w:tc>
      </w:tr>
      <w:tr>
        <w:trPr>
          <w:trHeight w:val="632" w:hRule="atLeast"/>
        </w:trPr>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3</w:t>
            </w:r>
          </w:p>
        </w:tc>
        <w:tc>
          <w:tcPr>
            <w:tcW w:w="12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3</w:t>
            </w:r>
          </w:p>
        </w:tc>
        <w:tc>
          <w:tcPr>
            <w:tcW w:w="28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BetaPERT</w:t>
            </w:r>
          </w:p>
        </w:tc>
        <w:tc>
          <w:tcPr>
            <w:tcW w:w="22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Mixed</w:t>
            </w:r>
          </w:p>
        </w:tc>
        <w:tc>
          <w:tcPr>
            <w:tcW w:w="19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~2.0</w:t>
            </w:r>
          </w:p>
        </w:tc>
      </w:tr>
      <w:tr>
        <w:trPr>
          <w:trHeight w:val="632" w:hRule="atLeast"/>
        </w:trPr>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4</w:t>
            </w:r>
          </w:p>
        </w:tc>
        <w:tc>
          <w:tcPr>
            <w:tcW w:w="12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4</w:t>
            </w:r>
          </w:p>
        </w:tc>
        <w:tc>
          <w:tcPr>
            <w:tcW w:w="28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Skewed BetaPERT</w:t>
            </w:r>
          </w:p>
        </w:tc>
        <w:tc>
          <w:tcPr>
            <w:tcW w:w="22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Late-fail</w:t>
            </w:r>
          </w:p>
        </w:tc>
        <w:tc>
          <w:tcPr>
            <w:tcW w:w="19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~3.5</w:t>
            </w:r>
          </w:p>
        </w:tc>
      </w:tr>
      <w:tr>
        <w:trPr>
          <w:trHeight w:val="632" w:hRule="atLeast"/>
        </w:trPr>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5</w:t>
            </w:r>
          </w:p>
        </w:tc>
        <w:tc>
          <w:tcPr>
            <w:tcW w:w="12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5</w:t>
            </w:r>
          </w:p>
        </w:tc>
        <w:tc>
          <w:tcPr>
            <w:tcW w:w="28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Heavy-tail Custom</w:t>
            </w:r>
          </w:p>
        </w:tc>
        <w:tc>
          <w:tcPr>
            <w:tcW w:w="225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Late-fail</w:t>
            </w:r>
          </w:p>
        </w:tc>
        <w:tc>
          <w:tcPr>
            <w:tcW w:w="1907" w:type="dxa"/>
            <w:tcBorders>
              <w:top w:val="single" w:sz="2" w:space="0" w:color="999999"/>
              <w:left w:val="single" w:sz="2" w:space="0" w:color="999999"/>
              <w:bottom w:val="single" w:sz="2" w:space="0" w:color="999999"/>
              <w:right w:val="single" w:sz="2" w:space="0" w:color="999999"/>
            </w:tcBorders>
            <w:vAlign w:val="center"/>
          </w:tcPr>
          <w:p>
            <w:pPr>
              <w:pStyle w:val="Normal"/>
              <w:jc w:val="center"/>
              <w:rPr>
                <w:sz w:val="26"/>
                <w:szCs w:val="26"/>
              </w:rPr>
            </w:pPr>
            <w:r>
              <w:rPr>
                <w:sz w:val="26"/>
                <w:szCs w:val="26"/>
              </w:rPr>
              <w:t>~5.0+</w:t>
            </w:r>
          </w:p>
        </w:tc>
      </w:tr>
    </w:tbl>
    <w:p>
      <w:pPr>
        <w:pStyle w:val="Normal"/>
        <w:spacing w:before="200" w:after="200"/>
        <w:rPr/>
      </w:pPr>
      <w:r>
        <w:rPr/>
        <w:t>Consider two tasks with identical baseline durations and identical traditional I×P scores. Task A is an MTL 2 component: most-likely 20 days, P10-P90 range of 17-25 days, almost no tail. Task B is an MTL 4 component: most-likely 20 days, P50 of 20 days, but P90 of 60 days. Traditional I×P scoring treats these identically, but they behave completely differently in schedule simulation. Task A contributes minimal influence to overall project finish variance. Task B becomes a dominant driver of P80 and P90 completion dates despite having the same central estimate.</w:t>
      </w:r>
    </w:p>
    <w:p>
      <w:pPr>
        <w:pStyle w:val="Heading1"/>
        <w:spacing w:before="0" w:after="180"/>
        <w:rPr/>
      </w:pPr>
      <w:r>
        <w:rPr/>
        <w:t>MRL Categories as Schedule Milestones</w:t>
      </w:r>
    </w:p>
    <w:p>
      <w:pPr>
        <w:pStyle w:val="Normal"/>
        <w:spacing w:before="0" w:after="200"/>
        <w:rPr/>
      </w:pPr>
      <w:r>
        <w:rPr/>
        <w:t>The four-category MRL structure provides natural schedule milestones that anchor the Monte Carlo model. Each category transition represents a phase gate with predecessor tasks whose distributions are informed by MTL complexity. High-MTL components will show higher variance at these transitions, and the simulation reveals which components drive program-level risk at each gate.</w:t>
      </w:r>
    </w:p>
    <w:p>
      <w:pPr>
        <w:pStyle w:val="Heading2"/>
        <w:rPr/>
      </w:pPr>
      <w:r>
        <w:rPr/>
        <w:t>The Four MRL Categories</w:t>
      </w:r>
    </w:p>
    <w:tbl>
      <w:tblPr>
        <w:tblW w:w="9360" w:type="dxa"/>
        <w:jc w:val="left"/>
        <w:tblInd w:w="0" w:type="dxa"/>
        <w:tblLayout w:type="fixed"/>
        <w:tblCellMar>
          <w:top w:w="0" w:type="dxa"/>
          <w:left w:w="108" w:type="dxa"/>
          <w:bottom w:w="0" w:type="dxa"/>
          <w:right w:w="108" w:type="dxa"/>
        </w:tblCellMar>
      </w:tblPr>
      <w:tblGrid>
        <w:gridCol w:w="3868"/>
        <w:gridCol w:w="1532"/>
        <w:gridCol w:w="3960"/>
      </w:tblGrid>
      <w:tr>
        <w:trPr>
          <w:tblHeader w:val="true"/>
          <w:trHeight w:val="554" w:hRule="atLeast"/>
        </w:trPr>
        <w:tc>
          <w:tcPr>
            <w:tcW w:w="386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MRL Category</w:t>
            </w:r>
          </w:p>
        </w:tc>
        <w:tc>
          <w:tcPr>
            <w:tcW w:w="153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MRL Levels</w:t>
            </w:r>
          </w:p>
        </w:tc>
        <w:tc>
          <w:tcPr>
            <w:tcW w:w="396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Unifying Question</w:t>
            </w:r>
          </w:p>
        </w:tc>
      </w:tr>
      <w:tr>
        <w:trPr>
          <w:trHeight w:val="554" w:hRule="atLeast"/>
        </w:trPr>
        <w:tc>
          <w:tcPr>
            <w:tcW w:w="3868"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1: Feasibility Validated</w:t>
            </w:r>
          </w:p>
        </w:tc>
        <w:tc>
          <w:tcPr>
            <w:tcW w:w="153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1-3</w:t>
            </w:r>
          </w:p>
        </w:tc>
        <w:tc>
          <w:tcPr>
            <w:tcW w:w="3960"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this be manufactured?</w:t>
            </w:r>
          </w:p>
        </w:tc>
      </w:tr>
      <w:tr>
        <w:trPr>
          <w:trHeight w:val="554" w:hRule="atLeast"/>
        </w:trPr>
        <w:tc>
          <w:tcPr>
            <w:tcW w:w="3868"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2: Prototype Capability</w:t>
            </w:r>
          </w:p>
        </w:tc>
        <w:tc>
          <w:tcPr>
            <w:tcW w:w="153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4-6</w:t>
            </w:r>
          </w:p>
        </w:tc>
        <w:tc>
          <w:tcPr>
            <w:tcW w:w="3960"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we build prototypes with production realism?</w:t>
            </w:r>
          </w:p>
        </w:tc>
      </w:tr>
      <w:tr>
        <w:trPr>
          <w:trHeight w:val="554" w:hRule="atLeast"/>
        </w:trPr>
        <w:tc>
          <w:tcPr>
            <w:tcW w:w="3868"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3: Production Validated</w:t>
            </w:r>
          </w:p>
        </w:tc>
        <w:tc>
          <w:tcPr>
            <w:tcW w:w="153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7-8</w:t>
            </w:r>
          </w:p>
        </w:tc>
        <w:tc>
          <w:tcPr>
            <w:tcW w:w="3960" w:type="dxa"/>
            <w:tcBorders>
              <w:top w:val="single" w:sz="2" w:space="0" w:color="999999"/>
              <w:left w:val="single" w:sz="2" w:space="0" w:color="999999"/>
              <w:bottom w:val="single" w:sz="2" w:space="0" w:color="999999"/>
              <w:right w:val="single" w:sz="2" w:space="0" w:color="999999"/>
            </w:tcBorders>
            <w:vAlign w:val="center"/>
          </w:tcPr>
          <w:p>
            <w:pPr>
              <w:pStyle w:val="Normal"/>
              <w:rPr/>
            </w:pPr>
            <w:r>
              <w:rPr/>
              <w:t>Is the production system ready?</w:t>
            </w:r>
          </w:p>
        </w:tc>
      </w:tr>
      <w:tr>
        <w:trPr>
          <w:trHeight w:val="554" w:hRule="atLeast"/>
        </w:trPr>
        <w:tc>
          <w:tcPr>
            <w:tcW w:w="3868"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4: Rates Demonstrated</w:t>
            </w:r>
          </w:p>
        </w:tc>
        <w:tc>
          <w:tcPr>
            <w:tcW w:w="153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9-10</w:t>
            </w:r>
          </w:p>
        </w:tc>
        <w:tc>
          <w:tcPr>
            <w:tcW w:w="3960"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we produce at volume?</w:t>
            </w:r>
          </w:p>
        </w:tc>
      </w:tr>
    </w:tbl>
    <w:p>
      <w:pPr>
        <w:pStyle w:val="Heading2"/>
        <w:spacing w:before="280" w:after="140"/>
        <w:rPr/>
      </w:pPr>
      <w:r>
        <w:rPr/>
        <w:t>Category Transitions as Phase Gates</w:t>
      </w:r>
    </w:p>
    <w:p>
      <w:pPr>
        <w:pStyle w:val="Normal"/>
        <w:spacing w:before="0" w:after="200"/>
        <w:rPr/>
      </w:pPr>
      <w:r>
        <w:rPr/>
        <w:t>Each MRL category transition represents a decision point where readiness evidence must be proportionate to complexity. The Monte Carlo model should include these transitions as milestones with explicit predecessor relationships:</w:t>
      </w:r>
    </w:p>
    <w:p>
      <w:pPr>
        <w:pStyle w:val="Normal"/>
        <w:spacing w:before="0" w:after="200"/>
        <w:rPr/>
      </w:pPr>
      <w:r>
        <w:rPr>
          <w:b/>
          <w:bCs/>
        </w:rPr>
        <w:t xml:space="preserve">Category 1 → 2 Transition (Feasibility to Prototype): </w:t>
      </w:r>
      <w:r>
        <w:rPr/>
        <w:t>Manufacturing concepts validated, prototype builds authorized. For MTL 1-2 components, this transition requires standard feasibility assessment. For MTL 4-5 components, this transition requires completion of manufacturing R&amp;D scope definition and may include design-for-manufacturing iterations.</w:t>
      </w:r>
    </w:p>
    <w:p>
      <w:pPr>
        <w:pStyle w:val="Normal"/>
        <w:spacing w:before="0" w:after="200"/>
        <w:rPr/>
      </w:pPr>
      <w:r>
        <w:rPr>
          <w:b/>
          <w:bCs/>
        </w:rPr>
        <w:t xml:space="preserve">Category 2 → 3 Transition (Prototype to Validation): </w:t>
      </w:r>
      <w:r>
        <w:rPr/>
        <w:t>Prototype capability demonstrated in production-relevant environment, production validation authorized. For MTL 1-2 components, standard prototype builds complete this phase. For MTL 3 components, DOE-driven process characterization must demonstrate that process windows are understood. For MTL 4-5 components, dedicated technical ownership must confirm that process development has achieved capability.</w:t>
      </w:r>
    </w:p>
    <w:p>
      <w:pPr>
        <w:pStyle w:val="Normal"/>
        <w:spacing w:before="0" w:after="200"/>
        <w:rPr/>
      </w:pPr>
      <w:r>
        <w:rPr>
          <w:b/>
          <w:bCs/>
        </w:rPr>
        <w:t xml:space="preserve">Category 3 → 4 Transition (Validation to Rate Production): </w:t>
      </w:r>
      <w:r>
        <w:rPr/>
        <w:t>Production system validated, rate production authorized. For MTL 1-2 components, streamlined qualification emphasizing supplier capability suffices. For MTL 3 components, extended capability studies and detailed control plans are required. For MTL 4-5 components, intensive qualification including process capability analysis, measurement system validation, and potentially on-site supplier reviews must demonstrate readiness.</w:t>
      </w:r>
    </w:p>
    <w:p>
      <w:pPr>
        <w:pStyle w:val="Heading2"/>
        <w:spacing w:before="280" w:after="140"/>
        <w:rPr/>
      </w:pPr>
      <w:r>
        <w:rPr/>
        <w:t>Multiple Critical Paths by Domain</w:t>
      </w:r>
    </w:p>
    <w:p>
      <w:pPr>
        <w:pStyle w:val="Normal"/>
        <w:spacing w:before="0" w:after="200"/>
        <w:rPr/>
      </w:pPr>
      <w:r>
        <w:rPr/>
        <w:t>In highly coupled programs, a single critical path is insufficient. Modern complex products require recognition of multiple independent but interacting critical paths, each controlled by a different domain. The MRL category structure applies to each path:</w:t>
      </w:r>
    </w:p>
    <w:tbl>
      <w:tblPr>
        <w:tblW w:w="9360" w:type="dxa"/>
        <w:jc w:val="left"/>
        <w:tblInd w:w="0" w:type="dxa"/>
        <w:tblLayout w:type="fixed"/>
        <w:tblCellMar>
          <w:top w:w="0" w:type="dxa"/>
          <w:left w:w="108" w:type="dxa"/>
          <w:bottom w:w="0" w:type="dxa"/>
          <w:right w:w="108" w:type="dxa"/>
        </w:tblCellMar>
      </w:tblPr>
      <w:tblGrid>
        <w:gridCol w:w="2100"/>
        <w:gridCol w:w="2099"/>
        <w:gridCol w:w="2101"/>
        <w:gridCol w:w="3059"/>
      </w:tblGrid>
      <w:tr>
        <w:trPr>
          <w:tblHeader w:val="true"/>
          <w:trHeight w:val="462" w:hRule="atLeast"/>
        </w:trPr>
        <w:tc>
          <w:tcPr>
            <w:tcW w:w="210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Critical Path</w:t>
            </w:r>
          </w:p>
        </w:tc>
        <w:tc>
          <w:tcPr>
            <w:tcW w:w="20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Cat 1→2</w:t>
            </w:r>
          </w:p>
        </w:tc>
        <w:tc>
          <w:tcPr>
            <w:tcW w:w="210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Cat 2→3</w:t>
            </w:r>
          </w:p>
        </w:tc>
        <w:tc>
          <w:tcPr>
            <w:tcW w:w="305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Cat 3→4</w:t>
            </w:r>
          </w:p>
        </w:tc>
      </w:tr>
      <w:tr>
        <w:trPr>
          <w:trHeight w:val="462" w:hRule="atLeast"/>
        </w:trPr>
        <w:tc>
          <w:tcPr>
            <w:tcW w:w="2100"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Design Path</w:t>
            </w:r>
          </w:p>
        </w:tc>
        <w:tc>
          <w:tcPr>
            <w:tcW w:w="209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Concept freeze</w:t>
            </w:r>
          </w:p>
        </w:tc>
        <w:tc>
          <w:tcPr>
            <w:tcW w:w="210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Design validation</w:t>
            </w:r>
          </w:p>
        </w:tc>
        <w:tc>
          <w:tcPr>
            <w:tcW w:w="305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Production design release</w:t>
            </w:r>
          </w:p>
        </w:tc>
      </w:tr>
      <w:tr>
        <w:trPr>
          <w:trHeight w:val="462" w:hRule="atLeast"/>
        </w:trPr>
        <w:tc>
          <w:tcPr>
            <w:tcW w:w="2100"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Supplier Path</w:t>
            </w:r>
          </w:p>
        </w:tc>
        <w:tc>
          <w:tcPr>
            <w:tcW w:w="209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Supplier selection</w:t>
            </w:r>
          </w:p>
        </w:tc>
        <w:tc>
          <w:tcPr>
            <w:tcW w:w="210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Sample parts qualified</w:t>
            </w:r>
          </w:p>
        </w:tc>
        <w:tc>
          <w:tcPr>
            <w:tcW w:w="305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PPAP approval</w:t>
            </w:r>
          </w:p>
        </w:tc>
      </w:tr>
      <w:tr>
        <w:trPr>
          <w:trHeight w:val="462" w:hRule="atLeast"/>
        </w:trPr>
        <w:tc>
          <w:tcPr>
            <w:tcW w:w="2100"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Manufacturing Path</w:t>
            </w:r>
          </w:p>
        </w:tc>
        <w:tc>
          <w:tcPr>
            <w:tcW w:w="209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Process concept</w:t>
            </w:r>
          </w:p>
        </w:tc>
        <w:tc>
          <w:tcPr>
            <w:tcW w:w="210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Pilot line validated</w:t>
            </w:r>
          </w:p>
        </w:tc>
        <w:tc>
          <w:tcPr>
            <w:tcW w:w="305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Rate production capable</w:t>
            </w:r>
          </w:p>
        </w:tc>
      </w:tr>
    </w:tbl>
    <w:p>
      <w:pPr>
        <w:pStyle w:val="Normal"/>
        <w:spacing w:before="200" w:after="200"/>
        <w:rPr/>
      </w:pPr>
      <w:r>
        <w:rPr/>
        <w:t>Most catastrophic slip events occur because one of these paths was not ready even though the official schedule showed green. The hybrid methodology can be applied to each path independently, generating domain-specific CI and SSI metrics, then integrated to understand cross-path dependencies and system-level risk exposure.</w:t>
      </w:r>
    </w:p>
    <w:p>
      <w:pPr>
        <w:pStyle w:val="Normal"/>
        <w:rPr/>
      </w:pPr>
      <w:r>
        <w:rPr/>
      </w:r>
      <w:r>
        <w:br w:type="page"/>
      </w:r>
    </w:p>
    <w:p>
      <w:pPr>
        <w:pStyle w:val="Heading1"/>
        <w:spacing w:before="0" w:after="180"/>
        <w:rPr/>
      </w:pPr>
      <w:r>
        <w:rPr/>
        <w:t>Revealing True Risk Drivers: Criticality Index and Schedule Sensitivity Index</w:t>
      </w:r>
    </w:p>
    <w:p>
      <w:pPr>
        <w:pStyle w:val="Normal"/>
        <w:spacing w:before="0" w:after="200"/>
        <w:rPr/>
      </w:pPr>
      <w:r>
        <w:rPr/>
        <w:t>Once MTL-informed distributions have been propagated through the MRL-structured milestone network via Monte Carlo simulation, two powerful metrics emerge that traditional risk registers cannot provide: Criticality Index (CI) and Schedule Sensitivity Index (SSI). Together, these metrics identify tasks that genuinely drive project-level schedule risk.</w:t>
      </w:r>
    </w:p>
    <w:p>
      <w:pPr>
        <w:pStyle w:val="Heading2"/>
        <w:rPr/>
      </w:pPr>
      <w:r>
        <w:rPr/>
        <w:t>Criticality Index: Structural Risk</w:t>
      </w:r>
    </w:p>
    <w:p>
      <w:pPr>
        <w:pStyle w:val="Normal"/>
        <w:spacing w:before="0" w:after="200"/>
        <w:rPr/>
      </w:pPr>
      <w:r>
        <w:rPr/>
        <w:t>The Criticality Index measures how often a task lies on the critical path across all simulation iterations. Unlike deterministic critical path analysis, which identifies a single fixed chain, CI reveals the probabilistic critical path—the shifting set of constraints that dominate project completion under uncertainty.</w:t>
      </w:r>
    </w:p>
    <w:p>
      <w:pPr>
        <w:pStyle w:val="Normal"/>
        <w:spacing w:before="0" w:after="200"/>
        <w:rPr/>
      </w:pPr>
      <w:r>
        <w:rPr/>
        <w:t>A task with CI of 100% is always critical—it constrains project completion in every simulation run. A task with CI of 0% is never critical—regardless of how much it slips, other paths dominate. Tasks with intermediate CI values represent hidden structural risks: they are not on the deterministic critical path but become critical often enough to warrant attention.</w:t>
      </w:r>
    </w:p>
    <w:p>
      <w:pPr>
        <w:pStyle w:val="Heading2"/>
        <w:rPr/>
      </w:pPr>
      <w:r>
        <w:rPr/>
        <w:t>Schedule Sensitivity Index: Statistical Risk</w:t>
      </w:r>
    </w:p>
    <w:p>
      <w:pPr>
        <w:pStyle w:val="Normal"/>
        <w:spacing w:before="0" w:after="200"/>
        <w:rPr/>
      </w:pPr>
      <w:r>
        <w:rPr/>
        <w:t>While CI describes structural leverage, the Schedule Sensitivity Index measures statistical influence: the correlation between a task's duration variation and overall project completion dates. SSI answers the question: when this task runs long, does the project run long?</w:t>
      </w:r>
    </w:p>
    <w:p>
      <w:pPr>
        <w:pStyle w:val="Normal"/>
        <w:spacing w:before="0" w:after="200"/>
        <w:rPr/>
      </w:pPr>
      <w:r>
        <w:rPr/>
        <w:t>A task with high SSI strongly influences project completion variance. Its duration uncertainty translates directly into project-level uncertainty. A task with low SSI, even if it has high individual variance, contributes little to overall schedule risk—its uncertainty is absorbed by float or overwhelmed by other dominant paths.</w:t>
      </w:r>
    </w:p>
    <w:p>
      <w:pPr>
        <w:pStyle w:val="Heading2"/>
        <w:rPr/>
      </w:pPr>
      <w:r>
        <w:rPr/>
        <w:t>MTL-Informed CI/SSI Interpretation</w:t>
      </w:r>
    </w:p>
    <w:p>
      <w:pPr>
        <w:pStyle w:val="Normal"/>
        <w:spacing w:before="0" w:after="200"/>
        <w:rPr/>
      </w:pPr>
      <w:r>
        <w:rPr/>
        <w:t>CI and SSI interpretation should account for MTL complexity:</w:t>
      </w:r>
    </w:p>
    <w:p>
      <w:pPr>
        <w:pStyle w:val="Normal"/>
        <w:spacing w:before="0" w:after="200"/>
        <w:rPr/>
      </w:pPr>
      <w:r>
        <w:rPr>
          <w:b/>
          <w:bCs/>
        </w:rPr>
        <w:t xml:space="preserve">High CI + High SSI + High MTL (4-5): </w:t>
      </w:r>
      <w:r>
        <w:rPr/>
        <w:t>Maximum priority for risk mitigation. The task has structural leverage, statistical influence, and late-fail distribution characteristics that mean variance contribution may be underestimated even by Monte Carlo. Consider additional schedule buffer, dedicated technical ownership, and intensive leading indicator monitoring.</w:t>
      </w:r>
    </w:p>
    <w:p>
      <w:pPr>
        <w:pStyle w:val="Normal"/>
        <w:spacing w:before="0" w:after="200"/>
        <w:rPr/>
      </w:pPr>
      <w:r>
        <w:rPr>
          <w:b/>
          <w:bCs/>
        </w:rPr>
        <w:t xml:space="preserve">High CI + High SSI + Low MTL (1-2): </w:t>
      </w:r>
      <w:r>
        <w:rPr/>
        <w:t>Schedule structure rather than technical complexity is driving risk. The task matters architecturally but has bounded uncertainty. Consider structural changes such as adding parallel paths or breaking dependencies rather than technical mitigation.</w:t>
      </w:r>
    </w:p>
    <w:p>
      <w:pPr>
        <w:pStyle w:val="Normal"/>
        <w:spacing w:before="0" w:after="200"/>
        <w:rPr/>
      </w:pPr>
      <w:r>
        <w:rPr>
          <w:b/>
          <w:bCs/>
        </w:rPr>
        <w:t xml:space="preserve">Low CI + High SSI + High MTL: </w:t>
      </w:r>
      <w:r>
        <w:rPr/>
        <w:t>Hidden danger. The task is not on the deterministic critical path but becomes critical frequently when its fat-tailed distribution realizes large values. These are the tasks that traditional scheduling methods consistently overlook.</w:t>
      </w:r>
    </w:p>
    <w:p>
      <w:pPr>
        <w:pStyle w:val="Normal"/>
        <w:spacing w:before="0" w:after="200"/>
        <w:rPr/>
      </w:pPr>
      <w:r>
        <w:rPr>
          <w:b/>
          <w:bCs/>
        </w:rPr>
        <w:t xml:space="preserve">High CI + Low SSI: </w:t>
      </w:r>
      <w:r>
        <w:rPr/>
        <w:t>Structural importance but limited variance contribution. The task is always on the critical path but has narrow uncertainty. Monitor for status changes but don't over-invest in risk mitigation.</w:t>
      </w:r>
    </w:p>
    <w:p>
      <w:pPr>
        <w:pStyle w:val="Heading1"/>
        <w:spacing w:before="0" w:after="180"/>
        <w:rPr/>
      </w:pPr>
      <w:r>
        <w:rPr/>
        <w:t>Conclusion: Architecture-Aware Risk Management</w:t>
      </w:r>
    </w:p>
    <w:p>
      <w:pPr>
        <w:pStyle w:val="Normal"/>
        <w:spacing w:before="0" w:after="200"/>
        <w:rPr/>
      </w:pPr>
      <w:r>
        <w:rPr/>
        <w:t>The Impact × Probability framework need not be discarded—but it must be evolved. When probability and impact scores are grounded in MTL complexity assessment, when those scores govern duration distributions with appropriate early-fail or late-fail characteristics, when MRL category transitions provide schedule milestones, and when Monte Carlo simulation propagates uncertainty through the network, the method transcends its structural limitations. It becomes capable of distinguishing between risks that matter architecturally and risks that, despite high subjective scores, cannot influence project completion.</w:t>
      </w:r>
    </w:p>
    <w:p>
      <w:pPr>
        <w:pStyle w:val="Normal"/>
        <w:spacing w:before="0" w:after="200"/>
        <w:rPr/>
      </w:pPr>
      <w:r>
        <w:rPr/>
        <w:t>The methodology presented here integrates three complementary frameworks into a coherent system:</w:t>
      </w:r>
    </w:p>
    <w:p>
      <w:pPr>
        <w:pStyle w:val="Normal"/>
        <w:spacing w:before="0" w:after="120"/>
        <w:rPr/>
      </w:pPr>
      <w:r>
        <w:rPr>
          <w:b/>
          <w:bCs/>
        </w:rPr>
        <w:t xml:space="preserve">MTL complexity assessment </w:t>
      </w:r>
      <w:r>
        <w:rPr/>
        <w:t>provides the principled basis for probability and impact scoring, connecting subjective judgment to observable manufacturing characteristics and eliminating the "garbage-in" problem of traditional I×P methods.</w:t>
      </w:r>
    </w:p>
    <w:p>
      <w:pPr>
        <w:pStyle w:val="Normal"/>
        <w:spacing w:before="0" w:after="120"/>
        <w:rPr/>
      </w:pPr>
      <w:r>
        <w:rPr>
          <w:b/>
          <w:bCs/>
        </w:rPr>
        <w:t xml:space="preserve">MRL category structure </w:t>
      </w:r>
      <w:r>
        <w:rPr/>
        <w:t>provides natural schedule milestones that anchor the Monte Carlo model, enabling domain-specific analysis across Design, Supplier, and Manufacturing critical paths.</w:t>
      </w:r>
    </w:p>
    <w:p>
      <w:pPr>
        <w:pStyle w:val="Normal"/>
        <w:spacing w:before="0" w:after="200"/>
        <w:rPr/>
      </w:pPr>
      <w:r>
        <w:rPr>
          <w:b/>
          <w:bCs/>
        </w:rPr>
        <w:t xml:space="preserve">Monte Carlo simulation </w:t>
      </w:r>
      <w:r>
        <w:rPr/>
        <w:t>propagates MTL-informed distributions through MRL-structured milestones, generating Criticality Index and Schedule Sensitivity Index metrics that identify true schedule risk drivers with mathematical precision.</w:t>
      </w:r>
    </w:p>
    <w:p>
      <w:pPr>
        <w:pStyle w:val="Normal"/>
        <w:spacing w:before="0" w:after="200"/>
        <w:rPr/>
      </w:pPr>
      <w:r>
        <w:rPr/>
        <w:t>Together, these elements constitute a risk-driven timeline architecture approach that acknowledges complexity, embraces uncertainty, and generates actionable insight grounded in both the physics and mathematics of schedules. For practitioners navigating the demands of modern product development—concurrent engineering, distributed supply chains, integrated validation campaigns—this methodology provides a substantially more realistic representation of timeline vulnerability than traditional qualitative methods can achieve.</w:t>
      </w:r>
    </w:p>
    <w:p>
      <w:pPr>
        <w:pStyle w:val="Callout"/>
        <w:rPr/>
      </w:pPr>
      <w:r>
        <w:rPr/>
        <w:t>The goal is not perfect prediction—uncertainty, by definition, resists precise forecasting. The goal is better decisions: knowing where to focus attention, how to allocate contingency, when to escalate concerns, and which mitigations will actually move the needle on project completion. Architecture-aware risk management delivers that knowledge through a rigorous, transparent, and defensible analytical framework.</w:t>
      </w:r>
    </w:p>
    <w:p>
      <w:pPr>
        <w:pStyle w:val="Normal"/>
        <w:spacing w:before="0" w:after="200"/>
        <w:rPr/>
      </w:pPr>
      <w:r>
        <w:rPr/>
        <w:t>Organizations that adopt this methodology often report a fundamental shift in how schedule risk conversations occur. Rather than debating whether a particular risk "feels" concerning or whether its I×P score warrants attention, teams can point to CI and SSI metrics grounded in MTL complexity and MRL milestone structure. Executive reviews become data-driven discussions about probability distributions and critical path dynamics rather than exercises in consensus opinion. Project managers gain credibility by presenting quantified risk profiles that acknowledge uncertainty while providing actionable guidance.</w:t>
      </w:r>
    </w:p>
    <w:p>
      <w:pPr>
        <w:pStyle w:val="Normal"/>
        <w:spacing w:before="0" w:after="200"/>
        <w:rPr/>
      </w:pPr>
      <w:r>
        <w:rPr/>
        <w:t>The transition requires investment—in MTL assessment capability, MRL milestone definition, simulation tools, and team training. But for organizations managing complex programs where schedule performance is critical to business success, the return on that investment manifests in earlier risk detection, more effective mitigation, and ultimately more reliable project delivery. In an era where product development cycles continue to compress while technical complexity expands, architecture-aware schedule risk management is not merely advantageous—it is increasingly essential.</w:t>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200"/>
        <w:rPr/>
      </w:pPr>
      <w:r>
        <w:rPr/>
      </w:r>
    </w:p>
    <w:p>
      <w:pPr>
        <w:pStyle w:val="BodyText"/>
        <w:spacing w:before="0" w:after="200"/>
        <w:rPr/>
      </w:pPr>
      <w:r>
        <w:rPr/>
        <w:t>The Monte Carlo isn't just telling you the expected completion date—it's telling you:</w:t>
      </w:r>
    </w:p>
    <w:p>
      <w:pPr>
        <w:pStyle w:val="BodyText"/>
        <w:numPr>
          <w:ilvl w:val="0"/>
          <w:numId w:val="1"/>
        </w:numPr>
        <w:tabs>
          <w:tab w:val="clear" w:pos="720"/>
          <w:tab w:val="left" w:pos="0" w:leader="none"/>
        </w:tabs>
        <w:spacing w:before="0" w:after="0"/>
        <w:ind w:hanging="283" w:left="709"/>
        <w:rPr/>
      </w:pPr>
      <w:r>
        <w:rPr>
          <w:rStyle w:val="Strong"/>
        </w:rPr>
        <w:t>Your P50 and P90 dates will diverge significantly.</w:t>
      </w:r>
      <w:r>
        <w:rPr/>
        <w:t xml:space="preserve"> A program manager looking at nominal dates sees late May. The P90 date is likely well into June or July depending on impact magnitude interpretation. </w:t>
      </w:r>
    </w:p>
    <w:p>
      <w:pPr>
        <w:pStyle w:val="BodyText"/>
        <w:numPr>
          <w:ilvl w:val="0"/>
          <w:numId w:val="1"/>
        </w:numPr>
        <w:tabs>
          <w:tab w:val="clear" w:pos="720"/>
          <w:tab w:val="left" w:pos="0" w:leader="none"/>
        </w:tabs>
        <w:spacing w:before="0" w:after="0"/>
        <w:ind w:hanging="283" w:left="709"/>
        <w:rPr/>
      </w:pPr>
      <w:r>
        <w:rPr>
          <w:rStyle w:val="Strong"/>
        </w:rPr>
        <w:t>Schedule buffer belongs at the back, not distributed.</w:t>
      </w:r>
      <w:r>
        <w:rPr/>
        <w:t xml:space="preserve"> Front-end tasks have low variance; buffering them is waste. The supply chain and manufacturing qualification phases need contingency. </w:t>
      </w:r>
    </w:p>
    <w:p>
      <w:pPr>
        <w:pStyle w:val="BodyText"/>
        <w:numPr>
          <w:ilvl w:val="0"/>
          <w:numId w:val="1"/>
        </w:numPr>
        <w:tabs>
          <w:tab w:val="clear" w:pos="720"/>
          <w:tab w:val="left" w:pos="0" w:leader="none"/>
        </w:tabs>
        <w:spacing w:before="0" w:after="0"/>
        <w:ind w:hanging="283" w:left="709"/>
        <w:rPr/>
      </w:pPr>
      <w:r>
        <w:rPr>
          <w:rStyle w:val="Strong"/>
        </w:rPr>
        <w:t>The parallel workstreams provide less protection than the Gantt structure suggests.</w:t>
      </w:r>
      <w:r>
        <w:rPr/>
        <w:t xml:space="preserve"> They all converge on high-risk late-phase tasks. Three paths to the same bottleneck isn't redundancy. </w:t>
      </w:r>
    </w:p>
    <w:p>
      <w:pPr>
        <w:pStyle w:val="BodyText"/>
        <w:numPr>
          <w:ilvl w:val="0"/>
          <w:numId w:val="1"/>
        </w:numPr>
        <w:tabs>
          <w:tab w:val="clear" w:pos="720"/>
          <w:tab w:val="left" w:pos="0" w:leader="none"/>
        </w:tabs>
        <w:ind w:hanging="283" w:left="709"/>
        <w:rPr/>
      </w:pPr>
      <w:r>
        <w:rPr>
          <w:rStyle w:val="Strong"/>
        </w:rPr>
        <w:t>Early milestone achievement is a weak signal.</w:t>
      </w:r>
      <w:r>
        <w:rPr/>
        <w:t xml:space="preserve"> Completing D1, D2, S1, and M1 on schedule tells you relatively little about program health because these are low-probability, early-fail-mode tasks. The real test comes later.</w:t>
      </w:r>
    </w:p>
    <w:p>
      <w:pPr>
        <w:pStyle w:val="Normal"/>
        <w:spacing w:before="0" w:after="200"/>
        <w:rPr/>
      </w:pPr>
      <w:r>
        <w:rPr/>
      </w:r>
      <w:r>
        <w:br w:type="page"/>
      </w:r>
    </w:p>
    <w:p>
      <w:pPr>
        <w:pStyle w:val="Heading1"/>
        <w:spacing w:before="0" w:after="180"/>
        <w:rPr/>
      </w:pPr>
      <w:r>
        <w:rPr/>
      </w:r>
    </w:p>
    <w:p>
      <w:pPr>
        <w:pStyle w:val="Heading1"/>
        <w:spacing w:before="0" w:after="180"/>
        <w:rPr/>
      </w:pPr>
      <w:r>
        <w:rPr/>
        <w:t>Worked Example: Multi-Path Product Development</w:t>
      </w:r>
    </w:p>
    <w:p>
      <w:pPr>
        <w:pStyle w:val="Normal"/>
        <w:spacing w:before="0" w:after="200"/>
        <w:rPr/>
      </w:pPr>
      <w:r>
        <w:rPr/>
        <w:t>This example models a product development program with three interacting critical paths—Design, Supplier, and Manufacturing—that converge at production ramp. The network includes tasks at different MTL levels, demonstrating how complexity drives distribution parameters and ultimately program risk.</w:t>
      </w:r>
    </w:p>
    <w:p>
      <w:pPr>
        <w:pStyle w:val="Heading2"/>
        <w:rPr/>
      </w:pPr>
      <w:r>
        <w:rPr/>
        <w:t>Network Structure</w:t>
      </w:r>
    </w:p>
    <w:p>
      <w:pPr>
        <w:pStyle w:val="Normal"/>
        <w:spacing w:before="0" w:after="120"/>
        <w:rPr/>
      </w:pPr>
      <w:r>
        <w:rPr>
          <w:b/>
          <w:bCs/>
        </w:rPr>
        <w:t xml:space="preserve">Design Path: </w:t>
      </w:r>
      <w:r>
        <w:rPr/>
        <w:t>D1 (Concept) → D2 (Detailed Design) → D3 (Design Verification)</w:t>
      </w:r>
    </w:p>
    <w:p>
      <w:pPr>
        <w:pStyle w:val="Normal"/>
        <w:spacing w:before="0" w:after="120"/>
        <w:rPr/>
      </w:pPr>
      <w:r>
        <w:rPr>
          <w:b/>
          <w:bCs/>
        </w:rPr>
        <w:t xml:space="preserve">Supplier Path: </w:t>
      </w:r>
      <w:r>
        <w:rPr/>
        <w:t>S1 (Supplier Quote) → S2 (Sample Parts) → S3 (PPAP Qualification)</w:t>
      </w:r>
    </w:p>
    <w:p>
      <w:pPr>
        <w:pStyle w:val="Normal"/>
        <w:spacing w:before="0" w:after="120"/>
        <w:rPr/>
      </w:pPr>
      <w:r>
        <w:rPr>
          <w:b/>
          <w:bCs/>
        </w:rPr>
        <w:t xml:space="preserve">Manufacturing Path: </w:t>
      </w:r>
      <w:r>
        <w:rPr/>
        <w:t>M1 (Process Design) → M2 (Assessment Builds) → M3 (Production Ramp)</w:t>
      </w:r>
    </w:p>
    <w:p>
      <w:pPr>
        <w:pStyle w:val="Normal"/>
        <w:spacing w:before="0" w:after="200"/>
        <w:rPr/>
      </w:pPr>
      <w:r>
        <w:rPr>
          <w:b/>
          <w:bCs/>
        </w:rPr>
        <w:t xml:space="preserve">Cross-Path Dependencies: </w:t>
      </w:r>
      <w:r>
        <w:rPr/>
        <w:t>D2 gates S1 and M1; S2 gates D3; S3 gates M2; D3 and M2 gate M3</w:t>
      </w:r>
    </w:p>
    <w:p>
      <w:pPr>
        <w:pStyle w:val="Heading2"/>
        <w:rPr/>
      </w:pPr>
      <w:r>
        <w:rPr/>
        <w:t>Task Parameters with MTL Assessment</w:t>
      </w:r>
    </w:p>
    <w:tbl>
      <w:tblPr>
        <w:tblW w:w="9289" w:type="dxa"/>
        <w:jc w:val="left"/>
        <w:tblInd w:w="0" w:type="dxa"/>
        <w:tblLayout w:type="fixed"/>
        <w:tblCellMar>
          <w:top w:w="0" w:type="dxa"/>
          <w:left w:w="108" w:type="dxa"/>
          <w:bottom w:w="0" w:type="dxa"/>
          <w:right w:w="108" w:type="dxa"/>
        </w:tblCellMar>
      </w:tblPr>
      <w:tblGrid>
        <w:gridCol w:w="1800"/>
        <w:gridCol w:w="799"/>
        <w:gridCol w:w="900"/>
        <w:gridCol w:w="901"/>
        <w:gridCol w:w="899"/>
        <w:gridCol w:w="3989"/>
      </w:tblGrid>
      <w:tr>
        <w:trPr>
          <w:tblHeader w:val="true"/>
          <w:trHeight w:val="462" w:hRule="atLeast"/>
        </w:trPr>
        <w:tc>
          <w:tcPr>
            <w:tcW w:w="180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Task</w:t>
            </w:r>
          </w:p>
        </w:tc>
        <w:tc>
          <w:tcPr>
            <w:tcW w:w="7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ML Days</w:t>
            </w:r>
          </w:p>
        </w:tc>
        <w:tc>
          <w:tcPr>
            <w:tcW w:w="90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MTL</w:t>
            </w:r>
          </w:p>
        </w:tc>
        <w:tc>
          <w:tcPr>
            <w:tcW w:w="90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P</w:t>
            </w:r>
          </w:p>
        </w:tc>
        <w:tc>
          <w:tcPr>
            <w:tcW w:w="8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I</w:t>
            </w:r>
          </w:p>
        </w:tc>
        <w:tc>
          <w:tcPr>
            <w:tcW w:w="398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sz w:val="20"/>
                <w:szCs w:val="20"/>
              </w:rPr>
              <w:t>Characterization</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D1: Concept</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Known product type, early-fail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D2: Detail Design</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Multiple complexity factors, mixed</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D3: DVT</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New validation requirements, late-fail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S1: Quote</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15</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Established suppliers, early-fail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S2: Samples</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45</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New tooling, process development, late-fail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S3: PPAP</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5</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5</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5</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Frontier process qualification, late-fail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M1: Process</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25</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Multiple factors, mixed</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M2: Assess</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20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4</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First builds, yield learning, late-fail</w:t>
            </w:r>
          </w:p>
        </w:tc>
      </w:tr>
      <w:tr>
        <w:trPr>
          <w:trHeight w:val="462" w:hRule="atLeast"/>
        </w:trPr>
        <w:tc>
          <w:tcPr>
            <w:tcW w:w="1800"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M3: Ramp</w:t>
            </w:r>
          </w:p>
        </w:tc>
        <w:tc>
          <w:tcPr>
            <w:tcW w:w="7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30</w:t>
            </w:r>
          </w:p>
        </w:tc>
        <w:tc>
          <w:tcPr>
            <w:tcW w:w="90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90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89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sz w:val="20"/>
                <w:szCs w:val="20"/>
              </w:rPr>
              <w:t>3</w:t>
            </w:r>
          </w:p>
        </w:tc>
        <w:tc>
          <w:tcPr>
            <w:tcW w:w="3989" w:type="dxa"/>
            <w:tcBorders>
              <w:top w:val="single" w:sz="2" w:space="0" w:color="999999"/>
              <w:left w:val="single" w:sz="2" w:space="0" w:color="999999"/>
              <w:bottom w:val="single" w:sz="2" w:space="0" w:color="999999"/>
              <w:right w:val="single" w:sz="2" w:space="0" w:color="999999"/>
            </w:tcBorders>
            <w:vAlign w:val="center"/>
          </w:tcPr>
          <w:p>
            <w:pPr>
              <w:pStyle w:val="Normal"/>
              <w:jc w:val="left"/>
              <w:rPr/>
            </w:pPr>
            <w:r>
              <w:rPr>
                <w:sz w:val="20"/>
                <w:szCs w:val="20"/>
              </w:rPr>
              <w:t>Rate scale-up, mixed</w:t>
            </w:r>
          </w:p>
        </w:tc>
      </w:tr>
    </w:tbl>
    <w:p>
      <w:pPr>
        <w:pStyle w:val="Heading2"/>
        <w:spacing w:before="280" w:after="140"/>
        <w:rPr/>
      </w:pPr>
      <w:r>
        <w:rPr/>
        <w:t>Simulation Results</w:t>
      </w:r>
    </w:p>
    <w:p>
      <w:pPr>
        <w:pStyle w:val="Normal"/>
        <w:spacing w:before="0" w:after="200"/>
        <w:rPr/>
      </w:pPr>
      <w:r>
        <w:rPr/>
        <w:t>Running Monte Carlo simulation through this network produces results that reveal the true schedule risk drivers:</w:t>
      </w:r>
    </w:p>
    <w:tbl>
      <w:tblPr>
        <w:tblW w:w="9193" w:type="dxa"/>
        <w:jc w:val="left"/>
        <w:tblInd w:w="0" w:type="dxa"/>
        <w:tblLayout w:type="fixed"/>
        <w:tblCellMar>
          <w:top w:w="0" w:type="dxa"/>
          <w:left w:w="108" w:type="dxa"/>
          <w:bottom w:w="0" w:type="dxa"/>
          <w:right w:w="108" w:type="dxa"/>
        </w:tblCellMar>
      </w:tblPr>
      <w:tblGrid>
        <w:gridCol w:w="3342"/>
        <w:gridCol w:w="1628"/>
        <w:gridCol w:w="2049"/>
        <w:gridCol w:w="2173"/>
      </w:tblGrid>
      <w:tr>
        <w:trPr>
          <w:tblHeader w:val="true"/>
          <w:trHeight w:val="554" w:hRule="atLeast"/>
        </w:trPr>
        <w:tc>
          <w:tcPr>
            <w:tcW w:w="334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Task</w:t>
            </w:r>
          </w:p>
        </w:tc>
        <w:tc>
          <w:tcPr>
            <w:tcW w:w="162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MTL</w:t>
            </w:r>
          </w:p>
        </w:tc>
        <w:tc>
          <w:tcPr>
            <w:tcW w:w="204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Criticality Index</w:t>
            </w:r>
          </w:p>
        </w:tc>
        <w:tc>
          <w:tcPr>
            <w:tcW w:w="2173"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SSI</w:t>
            </w:r>
          </w:p>
        </w:tc>
      </w:tr>
      <w:tr>
        <w:trPr>
          <w:trHeight w:val="554" w:hRule="atLeast"/>
        </w:trPr>
        <w:tc>
          <w:tcPr>
            <w:tcW w:w="3342" w:type="dxa"/>
            <w:tcBorders>
              <w:top w:val="single" w:sz="2" w:space="0" w:color="999999"/>
              <w:left w:val="single" w:sz="2" w:space="0" w:color="999999"/>
              <w:bottom w:val="single" w:sz="2" w:space="0" w:color="999999"/>
              <w:right w:val="single" w:sz="2" w:space="0" w:color="999999"/>
            </w:tcBorders>
            <w:vAlign w:val="center"/>
          </w:tcPr>
          <w:p>
            <w:pPr>
              <w:pStyle w:val="Normal"/>
              <w:rPr/>
            </w:pPr>
            <w:r>
              <w:rPr/>
              <w:t>S3: PPAP Qualification</w:t>
            </w:r>
          </w:p>
        </w:tc>
        <w:tc>
          <w:tcPr>
            <w:tcW w:w="162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5</w:t>
            </w:r>
          </w:p>
        </w:tc>
        <w:tc>
          <w:tcPr>
            <w:tcW w:w="204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78%</w:t>
            </w:r>
          </w:p>
        </w:tc>
        <w:tc>
          <w:tcPr>
            <w:tcW w:w="2173"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0.82</w:t>
            </w:r>
          </w:p>
        </w:tc>
      </w:tr>
      <w:tr>
        <w:trPr>
          <w:trHeight w:val="554" w:hRule="atLeast"/>
        </w:trPr>
        <w:tc>
          <w:tcPr>
            <w:tcW w:w="3342" w:type="dxa"/>
            <w:tcBorders>
              <w:top w:val="single" w:sz="2" w:space="0" w:color="999999"/>
              <w:left w:val="single" w:sz="2" w:space="0" w:color="999999"/>
              <w:bottom w:val="single" w:sz="2" w:space="0" w:color="999999"/>
              <w:right w:val="single" w:sz="2" w:space="0" w:color="999999"/>
            </w:tcBorders>
            <w:vAlign w:val="center"/>
          </w:tcPr>
          <w:p>
            <w:pPr>
              <w:pStyle w:val="Normal"/>
              <w:rPr/>
            </w:pPr>
            <w:r>
              <w:rPr/>
              <w:t>S2: Sample Parts</w:t>
            </w:r>
          </w:p>
        </w:tc>
        <w:tc>
          <w:tcPr>
            <w:tcW w:w="162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4</w:t>
            </w:r>
          </w:p>
        </w:tc>
        <w:tc>
          <w:tcPr>
            <w:tcW w:w="204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72%</w:t>
            </w:r>
          </w:p>
        </w:tc>
        <w:tc>
          <w:tcPr>
            <w:tcW w:w="2173"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0.71</w:t>
            </w:r>
          </w:p>
        </w:tc>
      </w:tr>
      <w:tr>
        <w:trPr>
          <w:trHeight w:val="554" w:hRule="atLeast"/>
        </w:trPr>
        <w:tc>
          <w:tcPr>
            <w:tcW w:w="334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D3: Design Verification</w:t>
            </w:r>
          </w:p>
        </w:tc>
        <w:tc>
          <w:tcPr>
            <w:tcW w:w="162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4</w:t>
            </w:r>
          </w:p>
        </w:tc>
        <w:tc>
          <w:tcPr>
            <w:tcW w:w="204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45%</w:t>
            </w:r>
          </w:p>
        </w:tc>
        <w:tc>
          <w:tcPr>
            <w:tcW w:w="2173"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0.38</w:t>
            </w:r>
          </w:p>
        </w:tc>
      </w:tr>
      <w:tr>
        <w:trPr>
          <w:trHeight w:val="554" w:hRule="atLeast"/>
        </w:trPr>
        <w:tc>
          <w:tcPr>
            <w:tcW w:w="334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M2: Assessment Builds</w:t>
            </w:r>
          </w:p>
        </w:tc>
        <w:tc>
          <w:tcPr>
            <w:tcW w:w="162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4</w:t>
            </w:r>
          </w:p>
        </w:tc>
        <w:tc>
          <w:tcPr>
            <w:tcW w:w="204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65%</w:t>
            </w:r>
          </w:p>
        </w:tc>
        <w:tc>
          <w:tcPr>
            <w:tcW w:w="2173"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0.45</w:t>
            </w:r>
          </w:p>
        </w:tc>
      </w:tr>
      <w:tr>
        <w:trPr>
          <w:trHeight w:val="554" w:hRule="atLeast"/>
        </w:trPr>
        <w:tc>
          <w:tcPr>
            <w:tcW w:w="334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D1, S1, M1</w:t>
            </w:r>
          </w:p>
        </w:tc>
        <w:tc>
          <w:tcPr>
            <w:tcW w:w="1628"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2-3</w:t>
            </w:r>
          </w:p>
        </w:tc>
        <w:tc>
          <w:tcPr>
            <w:tcW w:w="2049"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&lt;25%</w:t>
            </w:r>
          </w:p>
        </w:tc>
        <w:tc>
          <w:tcPr>
            <w:tcW w:w="2173"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&lt;0.15</w:t>
            </w:r>
          </w:p>
        </w:tc>
      </w:tr>
    </w:tbl>
    <w:p>
      <w:pPr>
        <w:pStyle w:val="Heading2"/>
        <w:spacing w:before="280" w:after="140"/>
        <w:rPr/>
      </w:pPr>
      <w:r>
        <w:rPr/>
        <w:t>Interpretation</w:t>
      </w:r>
    </w:p>
    <w:p>
      <w:pPr>
        <w:pStyle w:val="Normal"/>
        <w:spacing w:before="0" w:after="200"/>
        <w:rPr/>
      </w:pPr>
      <w:r>
        <w:rPr/>
        <w:t>The results tell a clear story. The Supplier Path—specifically S2 (Sample Parts) and S3 (PPAP Qualification)—dominates schedule risk. Both tasks have high MTL (4-5), high CI, and high SSI. Their late-fail distributions mean that when they go wrong, they go very wrong, and their structural position means those delays flow directly to program completion.</w:t>
      </w:r>
    </w:p>
    <w:p>
      <w:pPr>
        <w:pStyle w:val="Normal"/>
        <w:spacing w:before="0" w:after="200"/>
        <w:rPr/>
      </w:pPr>
      <w:r>
        <w:rPr/>
        <w:t>D3 (Design Verification) shows moderate CI (45%) but meaningful SSI (0.38). It's not always on the critical path—often the supplier path dominates—but when D3 runs long due to its MTL 4 late-fail characteristics, the program feels it. This is exactly the "hidden danger" pattern: not on the deterministic critical path but capable of driving project-level uncertainty.</w:t>
      </w:r>
    </w:p>
    <w:p>
      <w:pPr>
        <w:pStyle w:val="Normal"/>
        <w:spacing w:before="0" w:after="200"/>
        <w:rPr/>
      </w:pPr>
      <w:r>
        <w:rPr/>
        <w:t>The early-phase, lower-MTL tasks (D1, S1, M1) contribute minimal schedule risk despite being necessary work. Their early-fail distributions and structural positions mean their uncertainty is absorbed rather than propagated.</w:t>
      </w:r>
    </w:p>
    <w:p>
      <w:pPr>
        <w:pStyle w:val="Callout"/>
        <w:rPr/>
      </w:pPr>
      <w:r>
        <w:rPr/>
        <w:t>This differentiation is invisible to traditional I×P scoring but emerges clearly from MTL-informed distributions propagated through MRL-structured milestones. The methodology identifies where to focus attention: S2 and S3 warrant dedicated technical ownership, leading indicator monitoring, and contingency planning. D1 and S1 can proceed with standard management.</w:t>
      </w:r>
    </w:p>
    <w:p>
      <w:pPr>
        <w:pStyle w:val="Heading1"/>
        <w:spacing w:before="0" w:after="1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13</w:t>
    </w:r>
    <w:r>
      <w:rPr/>
      <w:fldChar w:fldCharType="end"/>
    </w:r>
    <w:r>
      <w:rPr>
        <w:sz w:val="20"/>
        <w:szCs w:val="20"/>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13</w:t>
    </w:r>
    <w:r>
      <w:rPr/>
      <w:fldChar w:fldCharType="end"/>
    </w:r>
    <w:r>
      <w:rPr>
        <w:sz w:val="20"/>
        <w:szCs w:val="20"/>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Risk-Driven Timeline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Risk-Driven Timeline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00"/>
      <w:sz w:val="32"/>
      <w:szCs w:val="32"/>
    </w:rPr>
  </w:style>
  <w:style w:type="paragraph" w:styleId="Heading2">
    <w:name w:val="Heading 2"/>
    <w:basedOn w:val="Heading"/>
    <w:qFormat/>
    <w:pPr>
      <w:spacing w:before="280" w:after="140"/>
      <w:outlineLvl w:val="1"/>
    </w:pPr>
    <w:rPr>
      <w:rFonts w:ascii="Arial" w:hAnsi="Arial" w:eastAsia="Arial" w:cs="Arial"/>
      <w:b/>
      <w:bCs/>
      <w:color w:val="000000"/>
      <w:sz w:val="26"/>
      <w:szCs w:val="26"/>
    </w:rPr>
  </w:style>
  <w:style w:type="paragraph" w:styleId="Heading3">
    <w:name w:val="Heading 3"/>
    <w:basedOn w:val="Heading"/>
    <w:qFormat/>
    <w:pPr>
      <w:spacing w:before="24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240"/>
      <w:jc w:val="center"/>
    </w:pPr>
    <w:rPr>
      <w:rFonts w:ascii="Arial" w:hAnsi="Arial" w:eastAsia="Arial" w:cs="Arial"/>
      <w:b/>
      <w:bCs/>
      <w:color w:val="000000"/>
      <w:sz w:val="48"/>
      <w:szCs w:val="48"/>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llout">
    <w:name w:val="Callout"/>
    <w:qFormat/>
    <w:pPr>
      <w:widowControl/>
      <w:suppressAutoHyphens w:val="true"/>
      <w:bidi w:val="0"/>
      <w:spacing w:before="200" w:after="200"/>
      <w:ind w:left="720" w:right="720"/>
      <w:jc w:val="left"/>
    </w:pPr>
    <w:rPr>
      <w:rFonts w:ascii="Arial" w:hAnsi="Arial" w:eastAsia="Arial" w:cs="Arial"/>
      <w:i/>
      <w:iCs/>
      <w:color w:val="333333"/>
      <w:kern w:val="0"/>
      <w:sz w:val="24"/>
      <w:szCs w:val="24"/>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2717</TotalTime>
  <Application>LibreOffice/24.2.7.2$Linux_X86_64 LibreOffice_project/420$Build-2</Application>
  <AppVersion>15.0000</AppVersion>
  <Pages>13</Pages>
  <Words>3994</Words>
  <Characters>24609</Characters>
  <CharactersWithSpaces>28231</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2025-12-13T18:04:51Z</dcterms:created>
  <dc:creator>Un-named</dc:creator>
  <dc:description/>
  <dc:language>en-US</dc:language>
  <cp:lastModifiedBy/>
  <dcterms:modified xsi:type="dcterms:W3CDTF">2025-12-16T14:32:52Z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